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7042" w14:textId="77294552" w:rsidR="00930180" w:rsidRDefault="1E82CD19" w:rsidP="4749BEE5">
      <w:pPr>
        <w:pStyle w:val="Heading2"/>
        <w:rPr>
          <w:color w:val="auto"/>
          <w:sz w:val="22"/>
          <w:szCs w:val="22"/>
        </w:rPr>
      </w:pPr>
      <w:r w:rsidRPr="4749BEE5">
        <w:rPr>
          <w:b/>
          <w:bCs/>
          <w:color w:val="auto"/>
          <w:sz w:val="22"/>
          <w:szCs w:val="22"/>
        </w:rPr>
        <w:t>Principle 1: Internal Governance</w:t>
      </w:r>
    </w:p>
    <w:p w14:paraId="3A9F024A" w14:textId="3D22388C"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As with investor stewardship, technology stewardship begins with effective internal governance, processes and controls.  Effective technology stewardship rests on three pillars: effective risk governance, including corporate risk appetite statements accepted by the investor’s Board of Directors; reporting line to senior management, separate from business teams; and representation on the investor’s investment committee. The investor’s internal technology risk operations, including cybersecurity risk governance, data governance and incident response, should be governed similarly; and </w:t>
      </w:r>
      <w:r w:rsidR="07A1C266" w:rsidRPr="4749BEE5">
        <w:rPr>
          <w:rFonts w:asciiTheme="majorHAnsi" w:eastAsiaTheme="majorEastAsia" w:hAnsiTheme="majorHAnsi" w:cstheme="majorBidi"/>
          <w:sz w:val="22"/>
          <w:szCs w:val="22"/>
        </w:rPr>
        <w:t>appropriate</w:t>
      </w:r>
      <w:r w:rsidRPr="4749BEE5">
        <w:rPr>
          <w:rFonts w:asciiTheme="majorHAnsi" w:eastAsiaTheme="majorEastAsia" w:hAnsiTheme="majorHAnsi" w:cstheme="majorBidi"/>
          <w:sz w:val="22"/>
          <w:szCs w:val="22"/>
        </w:rPr>
        <w:t xml:space="preserve"> disclosure to clients and stakeholders should be assured.</w:t>
      </w:r>
    </w:p>
    <w:p w14:paraId="203461E0" w14:textId="30AAD4F2" w:rsidR="00930180" w:rsidRDefault="1E82CD19" w:rsidP="4749BEE5">
      <w:pPr>
        <w:pStyle w:val="Heading2"/>
        <w:rPr>
          <w:b/>
          <w:bCs/>
          <w:color w:val="auto"/>
          <w:sz w:val="22"/>
          <w:szCs w:val="22"/>
        </w:rPr>
      </w:pPr>
      <w:r w:rsidRPr="4749BEE5">
        <w:rPr>
          <w:b/>
          <w:bCs/>
          <w:color w:val="auto"/>
          <w:sz w:val="22"/>
          <w:szCs w:val="22"/>
        </w:rPr>
        <w:t>Principle 2: Developing and Implementing Stewardship Policies</w:t>
      </w:r>
    </w:p>
    <w:p w14:paraId="25912942" w14:textId="36B939D7" w:rsidR="00930180" w:rsidRDefault="472FAC64"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The development</w:t>
      </w:r>
      <w:r w:rsidR="1E82CD19" w:rsidRPr="4749BEE5">
        <w:rPr>
          <w:rFonts w:asciiTheme="majorHAnsi" w:eastAsiaTheme="majorEastAsia" w:hAnsiTheme="majorHAnsi" w:cstheme="majorBidi"/>
          <w:sz w:val="22"/>
          <w:szCs w:val="22"/>
        </w:rPr>
        <w:t xml:space="preserve"> of a coherent policy technology stewardship policy poses unique challenges and requires unique skills.   Importantly, the investor requires an appreciation of the underlying technology; an evolving and uncertain regulatory and legal framework, including tax impacts from proposed OECD tax guidance, evolving guidance on consumer protection implications, and challenges to intellectual property paradigms; a growing body of accepted “soft law” guidance;  increasingly, an understanding of governance and risk governance structures; in some cases a perceived record of self-dealing and conflicts of interest among the principals;  a challenging global, political, and public environment; and other new kinds of ESG issues, including privacy concerns, and implications for democracy and civil rights. </w:t>
      </w:r>
    </w:p>
    <w:p w14:paraId="55C12C00" w14:textId="5D8DD2CA"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These known concerns, setting out clear expectations for fiduciary performance, nonetheless arise in a challenging and fast-moving market environment.  To operate effectively in this market, an investor’s technology stewardship policy must include clear risk appetite statements, definitive due diligence approaches and contractual provisions, and not least, a considered engagement and communications strategy enabling the investor to identify, assess and manage emerging risks as they arise.</w:t>
      </w:r>
    </w:p>
    <w:p w14:paraId="48E42762" w14:textId="43DA5DBE" w:rsidR="00930180" w:rsidRDefault="1E82CD19" w:rsidP="4749BEE5">
      <w:pPr>
        <w:shd w:val="clear" w:color="auto" w:fill="FFFFFF" w:themeFill="background1"/>
        <w:spacing w:before="240" w:after="240" w:line="276" w:lineRule="auto"/>
        <w:rPr>
          <w:rStyle w:val="Heading2Char"/>
          <w:b/>
          <w:bCs/>
          <w:color w:val="auto"/>
          <w:sz w:val="22"/>
          <w:szCs w:val="22"/>
        </w:rPr>
      </w:pPr>
      <w:r w:rsidRPr="4749BEE5">
        <w:rPr>
          <w:rStyle w:val="Heading2Char"/>
          <w:b/>
          <w:bCs/>
          <w:color w:val="auto"/>
          <w:sz w:val="22"/>
          <w:szCs w:val="22"/>
        </w:rPr>
        <w:t>Principle 3: Monitoring and Assessing Portfolio Companies</w:t>
      </w:r>
    </w:p>
    <w:p w14:paraId="13FCA3DD" w14:textId="6A3CF3D3"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For technology stewardship investors, monitoring requires different skills and </w:t>
      </w:r>
      <w:proofErr w:type="gramStart"/>
      <w:r w:rsidRPr="4749BEE5">
        <w:rPr>
          <w:rFonts w:asciiTheme="majorHAnsi" w:eastAsiaTheme="majorEastAsia" w:hAnsiTheme="majorHAnsi" w:cstheme="majorBidi"/>
          <w:sz w:val="22"/>
          <w:szCs w:val="22"/>
        </w:rPr>
        <w:t>sensitivities</w:t>
      </w:r>
      <w:proofErr w:type="gramEnd"/>
      <w:r w:rsidRPr="4749BEE5">
        <w:rPr>
          <w:rFonts w:asciiTheme="majorHAnsi" w:eastAsiaTheme="majorEastAsia" w:hAnsiTheme="majorHAnsi" w:cstheme="majorBidi"/>
          <w:sz w:val="22"/>
          <w:szCs w:val="22"/>
        </w:rPr>
        <w:t xml:space="preserve">. Beyond financial, strategic and operational matters, technology stewardship requires understanding governance in action, the translation of corporate culture and goals to people, processes and controls, and the potential impact of non-financial risks on the company’s long-term value.  </w:t>
      </w:r>
    </w:p>
    <w:p w14:paraId="110EE806" w14:textId="7E89AB1D"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The technology stewardship investor typically will rely on both structured and unstructured information to achieve effective monitoring.  Broadly, the investor may wish to identify key metrics, such as the number of data incidents; more qualitative assessment of, for example, cybersecurity controls against key benchmarks and standards, such as NIST; and request comfort on incident response protocols, notably, if the potential reputational risk involves sensitive personal information or otherwise may have adverse impacts disproportionate to the size and maturity of the company. They may also wish continuing assessment of key intellectual property risks, for example, with ChatGPT and similar applications that may operate in an unsettled area of the law.</w:t>
      </w:r>
    </w:p>
    <w:p w14:paraId="6353B4FE" w14:textId="5F44057B"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lastRenderedPageBreak/>
        <w:t xml:space="preserve">Investors’ reliance on information that may relate to companies’ proprietary business models and trade secrets may challenge their own information governance capacities.  </w:t>
      </w:r>
      <w:r w:rsidR="4F9E7FB3" w:rsidRPr="4749BEE5">
        <w:rPr>
          <w:rFonts w:asciiTheme="majorHAnsi" w:eastAsiaTheme="majorEastAsia" w:hAnsiTheme="majorHAnsi" w:cstheme="majorBidi"/>
          <w:sz w:val="22"/>
          <w:szCs w:val="22"/>
        </w:rPr>
        <w:t>Accordingly,</w:t>
      </w:r>
      <w:r w:rsidRPr="4749BEE5">
        <w:rPr>
          <w:rFonts w:asciiTheme="majorHAnsi" w:eastAsiaTheme="majorEastAsia" w:hAnsiTheme="majorHAnsi" w:cstheme="majorBidi"/>
          <w:sz w:val="22"/>
          <w:szCs w:val="22"/>
        </w:rPr>
        <w:t xml:space="preserve"> stewardship policies should specifically address information security and management issues.</w:t>
      </w:r>
    </w:p>
    <w:p w14:paraId="317B8503" w14:textId="3F282218" w:rsidR="00930180" w:rsidRDefault="1E82CD19" w:rsidP="4749BEE5">
      <w:pPr>
        <w:pStyle w:val="Heading2"/>
        <w:rPr>
          <w:b/>
          <w:bCs/>
          <w:color w:val="auto"/>
          <w:sz w:val="22"/>
          <w:szCs w:val="22"/>
        </w:rPr>
      </w:pPr>
      <w:r w:rsidRPr="4749BEE5">
        <w:rPr>
          <w:b/>
          <w:bCs/>
          <w:color w:val="auto"/>
          <w:sz w:val="22"/>
          <w:szCs w:val="22"/>
        </w:rPr>
        <w:t>Principle 4: Engaging Companies and Investor Collaboration</w:t>
      </w:r>
    </w:p>
    <w:p w14:paraId="78D3E2DA" w14:textId="5FC97B48"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Monitoring and assessment, though essential, have proven difficult in technology investment environments.  For institutional investors, in particular, barriers include dependence on the company and its backers for understanding the underlying technology, and a market environment allowing the company and founders to aggressively protect their perceived interests. </w:t>
      </w:r>
    </w:p>
    <w:p w14:paraId="0E500FAD" w14:textId="6B9153E8"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Establishing an appropriate engagement relationship is therefore fundamental to effective technology stewardship.  If stewardship is dialogue, investors can play a critical role in providing management and Board members with market perceptions, including emerging market opportunities, critical regulatory and litigation trends, and emerging reputational concerns; and companies can communicate their views on the implications of these trends to the market, through their stewardship partners.  The investor/company dialogue can be a valuable “talking partner” relationship, enabling the company to improve its operations, and sharpen its message.  Not least, by developing a relationship of trust, investor dialogue can provide the company with a safe space to consider effective and practical responses to difficult issues, and as importantly, to normalize investor engagement as constructive and essential to the company’s goals.</w:t>
      </w:r>
    </w:p>
    <w:p w14:paraId="713219B8" w14:textId="0CCF22BE"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Of course, and especially in the technology area, engagement should include challenging the company when needed.  For example, valuations can be particularly uncertain in </w:t>
      </w:r>
      <w:proofErr w:type="gramStart"/>
      <w:r w:rsidRPr="4749BEE5">
        <w:rPr>
          <w:rFonts w:asciiTheme="majorHAnsi" w:eastAsiaTheme="majorEastAsia" w:hAnsiTheme="majorHAnsi" w:cstheme="majorBidi"/>
          <w:sz w:val="22"/>
          <w:szCs w:val="22"/>
        </w:rPr>
        <w:t>intangibles</w:t>
      </w:r>
      <w:proofErr w:type="gramEnd"/>
      <w:r w:rsidRPr="4749BEE5">
        <w:rPr>
          <w:rFonts w:asciiTheme="majorHAnsi" w:eastAsiaTheme="majorEastAsia" w:hAnsiTheme="majorHAnsi" w:cstheme="majorBidi"/>
          <w:sz w:val="22"/>
          <w:szCs w:val="22"/>
        </w:rPr>
        <w:t>-based businesses, and even subject to manipulation.  Stewardship investors’ own fiduciary obligations would demand transparent, timely and appropriate valuation processes.</w:t>
      </w:r>
    </w:p>
    <w:p w14:paraId="49386CB9" w14:textId="25F213F7" w:rsidR="00930180" w:rsidRDefault="1E82CD19" w:rsidP="4749BEE5">
      <w:pPr>
        <w:pStyle w:val="Heading2"/>
        <w:rPr>
          <w:b/>
          <w:bCs/>
          <w:color w:val="auto"/>
          <w:sz w:val="22"/>
          <w:szCs w:val="22"/>
        </w:rPr>
      </w:pPr>
      <w:r w:rsidRPr="4749BEE5">
        <w:rPr>
          <w:b/>
          <w:bCs/>
          <w:color w:val="auto"/>
          <w:sz w:val="22"/>
          <w:szCs w:val="22"/>
        </w:rPr>
        <w:t>Principal 5: Exercising and Protecting Voting Rights</w:t>
      </w:r>
    </w:p>
    <w:p w14:paraId="60D2A15D" w14:textId="1FDE49FE"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Voting is also essential to effective technology stewardship.  Among other things, the dynamics of venture and technology investment have encouraged strong founders to effectively control Boards of Directors; to assure dual class share structures that dilute voting rights and influence of institutional investors; to limit management and Board responsibility, diluting alignment; and to implement change of control mechanisms that may effectively entrench founders and management, and at least give them substantial leverage in negotiating the terms of acquisitions by and of the company. </w:t>
      </w:r>
    </w:p>
    <w:p w14:paraId="53B688F9" w14:textId="34D859FA"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Under present market conditions, Investors’ stewardship role then requires an active and engaged voting policy, notably on matters relating to changes in control, changes in voting rights, and Board members.  This can mean, use of voting position to encourage changes in company position or practices  Further, in view of the industry’s continuing governance concerns, some investors may wish to consider whether their stewardship policies should at least contemplate situations (such as change in control transactions) where participation in proxy fights, or even litigation, may be appropriate.</w:t>
      </w:r>
    </w:p>
    <w:p w14:paraId="3BB206E6" w14:textId="7D91C97C" w:rsidR="00930180" w:rsidRDefault="1E82CD19" w:rsidP="4749BEE5">
      <w:pPr>
        <w:pStyle w:val="Heading2"/>
        <w:rPr>
          <w:b/>
          <w:bCs/>
          <w:color w:val="auto"/>
          <w:sz w:val="22"/>
          <w:szCs w:val="22"/>
        </w:rPr>
      </w:pPr>
      <w:r w:rsidRPr="4749BEE5">
        <w:rPr>
          <w:b/>
          <w:bCs/>
          <w:color w:val="auto"/>
          <w:sz w:val="22"/>
          <w:szCs w:val="22"/>
        </w:rPr>
        <w:lastRenderedPageBreak/>
        <w:t>Principle 6: Promoting Long-Term Value Creation</w:t>
      </w:r>
    </w:p>
    <w:p w14:paraId="34EA8B32" w14:textId="7B02A641"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The ICGN 2020 Global Stewardship Principles revisions draw a clear link between fiduciary duty and long-term, sustainable value creation. This long-term view requires investors to consider ESG and other long-term factors, including integration of material ESG risks into company and investment processes, and investor activities such as investment analysis, voting and engagement. Principle 6 also emphasizes the importance of engaging with investee companies to develop appropriate risk disclosure and to understand how disclosed risks affect financial performance.</w:t>
      </w:r>
    </w:p>
    <w:p w14:paraId="3C4FCD90" w14:textId="0E1B2657"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The culture of technology investing can penalize long-term value considerations and effective stewardship approaches.  For example, venture funds typically employ shorter investment periods, allowing managers to market new funds earlier and encouraging valuation disclosures that support higher valuations. Investors may be incentivized to accept these practices, to enhance their own reported returns and maintain relations with preferred managers.  ESG and similar long-term value considerations can then be excluded from investment behaviors, while seeming consistent with successful investment strategies.  Concerns that oversight would impede innovation, pressures of a “FOMO” investing culture, and to a remarkable extent, an implicit investor assumption that ESG factors are not material to asset-lite businesses, have also weakened investors’ stewardship role.</w:t>
      </w:r>
    </w:p>
    <w:p w14:paraId="7343B779" w14:textId="22D664B8"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Recent events have demonstrated however the importance of adapting stewardship, and looking to long-term value, in the technology and venture contexts.  Loosening stewardship standards have led to fundamental impacts on value, including founder self-dealing, dual class share structures, and failures to “price in” foreseeable regulation.  Over the </w:t>
      </w:r>
      <w:proofErr w:type="gramStart"/>
      <w:r w:rsidRPr="4749BEE5">
        <w:rPr>
          <w:rFonts w:asciiTheme="majorHAnsi" w:eastAsiaTheme="majorEastAsia" w:hAnsiTheme="majorHAnsi" w:cstheme="majorBidi"/>
          <w:sz w:val="22"/>
          <w:szCs w:val="22"/>
        </w:rPr>
        <w:t>longer</w:t>
      </w:r>
      <w:proofErr w:type="gramEnd"/>
      <w:r w:rsidRPr="4749BEE5">
        <w:rPr>
          <w:rFonts w:asciiTheme="majorHAnsi" w:eastAsiaTheme="majorEastAsia" w:hAnsiTheme="majorHAnsi" w:cstheme="majorBidi"/>
          <w:sz w:val="22"/>
          <w:szCs w:val="22"/>
        </w:rPr>
        <w:t xml:space="preserve"> run, failures to address core ESG-type issues, such as privacy and ethics, as well as freedom of expression and other human rights concerns, have led to a less friendly customer and political environment, impacting valuations in technology investments generally. </w:t>
      </w:r>
    </w:p>
    <w:p w14:paraId="30B6E3F3" w14:textId="1E37550F"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Technology investing accordingly requires translation of ordinary stewardship principles to a new investment context, not a changed fiduciary approach.  Due diligence and effective oversight remain priorities.  But these require deep domain expertise, </w:t>
      </w:r>
      <w:proofErr w:type="gramStart"/>
      <w:r w:rsidRPr="4749BEE5">
        <w:rPr>
          <w:rFonts w:asciiTheme="majorHAnsi" w:eastAsiaTheme="majorEastAsia" w:hAnsiTheme="majorHAnsi" w:cstheme="majorBidi"/>
          <w:sz w:val="22"/>
          <w:szCs w:val="22"/>
        </w:rPr>
        <w:t>to understand</w:t>
      </w:r>
      <w:proofErr w:type="gramEnd"/>
      <w:r w:rsidRPr="4749BEE5">
        <w:rPr>
          <w:rFonts w:asciiTheme="majorHAnsi" w:eastAsiaTheme="majorEastAsia" w:hAnsiTheme="majorHAnsi" w:cstheme="majorBidi"/>
          <w:sz w:val="22"/>
          <w:szCs w:val="22"/>
        </w:rPr>
        <w:t xml:space="preserve"> key value drivers; the discipline to apply oversight dynamically, as the company, technology and environment evolve; and an emphasis on responsible governance, to assure that the company itself </w:t>
      </w:r>
      <w:proofErr w:type="gramStart"/>
      <w:r w:rsidRPr="4749BEE5">
        <w:rPr>
          <w:rFonts w:asciiTheme="majorHAnsi" w:eastAsiaTheme="majorEastAsia" w:hAnsiTheme="majorHAnsi" w:cstheme="majorBidi"/>
          <w:sz w:val="22"/>
          <w:szCs w:val="22"/>
        </w:rPr>
        <w:t>is able to</w:t>
      </w:r>
      <w:proofErr w:type="gramEnd"/>
      <w:r w:rsidRPr="4749BEE5">
        <w:rPr>
          <w:rFonts w:asciiTheme="majorHAnsi" w:eastAsiaTheme="majorEastAsia" w:hAnsiTheme="majorHAnsi" w:cstheme="majorBidi"/>
          <w:sz w:val="22"/>
          <w:szCs w:val="22"/>
        </w:rPr>
        <w:t xml:space="preserve"> scale and manage the technology in a changing environment. </w:t>
      </w:r>
    </w:p>
    <w:p w14:paraId="2590F074" w14:textId="5376BDCA"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Additionally, investors </w:t>
      </w:r>
      <w:r w:rsidR="17154ECE" w:rsidRPr="4749BEE5">
        <w:rPr>
          <w:rFonts w:asciiTheme="majorHAnsi" w:eastAsiaTheme="majorEastAsia" w:hAnsiTheme="majorHAnsi" w:cstheme="majorBidi"/>
          <w:sz w:val="22"/>
          <w:szCs w:val="22"/>
        </w:rPr>
        <w:t>through</w:t>
      </w:r>
      <w:r w:rsidRPr="4749BEE5">
        <w:rPr>
          <w:rFonts w:asciiTheme="majorHAnsi" w:eastAsiaTheme="majorEastAsia" w:hAnsiTheme="majorHAnsi" w:cstheme="majorBidi"/>
          <w:sz w:val="22"/>
          <w:szCs w:val="22"/>
        </w:rPr>
        <w:t xml:space="preserve"> venture funds and similar intermediaries should confirm that managers are themselves able to </w:t>
      </w:r>
      <w:proofErr w:type="gramStart"/>
      <w:r w:rsidRPr="4749BEE5">
        <w:rPr>
          <w:rFonts w:asciiTheme="majorHAnsi" w:eastAsiaTheme="majorEastAsia" w:hAnsiTheme="majorHAnsi" w:cstheme="majorBidi"/>
          <w:sz w:val="22"/>
          <w:szCs w:val="22"/>
        </w:rPr>
        <w:t>assure</w:t>
      </w:r>
      <w:proofErr w:type="gramEnd"/>
      <w:r w:rsidRPr="4749BEE5">
        <w:rPr>
          <w:rFonts w:asciiTheme="majorHAnsi" w:eastAsiaTheme="majorEastAsia" w:hAnsiTheme="majorHAnsi" w:cstheme="majorBidi"/>
          <w:sz w:val="22"/>
          <w:szCs w:val="22"/>
        </w:rPr>
        <w:t xml:space="preserve"> application of a stewardship approach.  Managers rightly ask fund investors to limit heavy-handed intervention in their fast-moving business. This necessarily suggests, however, that fiduciary investors require managers to confirm their own stewardship obligations in exercising that discretion.  Similarly, as further discussed below. The stewardship investor should insist on strong fund reporting, including valuation metrics, and value drivers and risks, and assure integration of ESG-type factors, such as privacy and ethics, that may be material to the long-term value of the fund’s investments.</w:t>
      </w:r>
    </w:p>
    <w:p w14:paraId="7F765FE6" w14:textId="2DD2FFE3" w:rsidR="00930180" w:rsidRDefault="1E82CD19" w:rsidP="4749BEE5">
      <w:pPr>
        <w:pStyle w:val="Heading2"/>
        <w:rPr>
          <w:b/>
          <w:bCs/>
          <w:color w:val="auto"/>
          <w:sz w:val="22"/>
          <w:szCs w:val="22"/>
        </w:rPr>
      </w:pPr>
      <w:r w:rsidRPr="4749BEE5">
        <w:rPr>
          <w:b/>
          <w:bCs/>
          <w:color w:val="auto"/>
          <w:sz w:val="22"/>
          <w:szCs w:val="22"/>
        </w:rPr>
        <w:lastRenderedPageBreak/>
        <w:t>Principle 7: Transparency, Disclosure and Reporting</w:t>
      </w:r>
    </w:p>
    <w:p w14:paraId="3BD72B9A" w14:textId="7F859EF4"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Meaningful investor reporting on stewardship is fundamental to the credibility and accountability of the stewardship process.  In the case of technology investing, beneficiaries and stakeholders are entitled to understand, with transparency and clarity, the investor’s risk appetite and priorities; its valuation process; and its capacity to identify and manage technology risks and opportunities for long term value creation, including novel ESG-type risks that may emerge and impact value over the lifetime of its investments.</w:t>
      </w:r>
    </w:p>
    <w:p w14:paraId="5F45E6B8" w14:textId="51FB4D0C"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Many technology investors invest through funds, to leverage the network and </w:t>
      </w:r>
      <w:proofErr w:type="gramStart"/>
      <w:r w:rsidRPr="4749BEE5">
        <w:rPr>
          <w:rFonts w:asciiTheme="majorHAnsi" w:eastAsiaTheme="majorEastAsia" w:hAnsiTheme="majorHAnsi" w:cstheme="majorBidi"/>
          <w:sz w:val="22"/>
          <w:szCs w:val="22"/>
        </w:rPr>
        <w:t>perceived</w:t>
      </w:r>
      <w:proofErr w:type="gramEnd"/>
      <w:r w:rsidRPr="4749BEE5">
        <w:rPr>
          <w:rFonts w:asciiTheme="majorHAnsi" w:eastAsiaTheme="majorEastAsia" w:hAnsiTheme="majorHAnsi" w:cstheme="majorBidi"/>
          <w:sz w:val="22"/>
          <w:szCs w:val="22"/>
        </w:rPr>
        <w:t xml:space="preserve"> expertise of fund managers. This approach requires fiduciary investors to undertake the additional responsibility of disclosing to their own beneficiaries key stewardship requirements demanded of their managers, including managers’ diligence, investment decision and risk oversight mechanisms; their portfolio valuation methodology; their ability to support long-term value creation in the fund’s investments; and managers’ commitment to fiduciary oversight of their operations and investments.  Further, where the investor primarily relies on its manager or </w:t>
      </w:r>
      <w:r w:rsidR="25C2CAFD" w:rsidRPr="4749BEE5">
        <w:rPr>
          <w:rFonts w:asciiTheme="majorHAnsi" w:eastAsiaTheme="majorEastAsia" w:hAnsiTheme="majorHAnsi" w:cstheme="majorBidi"/>
          <w:sz w:val="22"/>
          <w:szCs w:val="22"/>
        </w:rPr>
        <w:t>third-party</w:t>
      </w:r>
      <w:r w:rsidRPr="4749BEE5">
        <w:rPr>
          <w:rFonts w:asciiTheme="majorHAnsi" w:eastAsiaTheme="majorEastAsia" w:hAnsiTheme="majorHAnsi" w:cstheme="majorBidi"/>
          <w:sz w:val="22"/>
          <w:szCs w:val="22"/>
        </w:rPr>
        <w:t xml:space="preserve"> co-investors to manage the technology investment, the fact, basis and historic reasonableness of such reliance should be disclosed.</w:t>
      </w:r>
    </w:p>
    <w:p w14:paraId="2D3D1019" w14:textId="3F4137F5"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Notwithstanding, FOMO remains a key driver of investments and lax stewardship practices in the industry.  Where investors and regulators have thus far accommodated the perceived needs of an innovation culture, the so-called “techlash” suggests that accommodation has fallen out of alignment with long term value creation. In a largely private and illiquid market, disclosure, transparency and mandated fiduciary exposure are essential to re-establishing this alignment.</w:t>
      </w:r>
    </w:p>
    <w:p w14:paraId="2C078E63" w14:textId="3CFA96BE" w:rsidR="00930180" w:rsidRDefault="1E82CD19" w:rsidP="4749BEE5">
      <w:pPr>
        <w:shd w:val="clear" w:color="auto" w:fill="FFFFFF" w:themeFill="background1"/>
        <w:spacing w:before="240" w:after="240" w:line="276" w:lineRule="auto"/>
        <w:rPr>
          <w:rFonts w:asciiTheme="majorHAnsi" w:eastAsiaTheme="majorEastAsia" w:hAnsiTheme="majorHAnsi" w:cstheme="majorBidi"/>
          <w:sz w:val="22"/>
          <w:szCs w:val="22"/>
        </w:rPr>
      </w:pPr>
      <w:r w:rsidRPr="4749BEE5">
        <w:rPr>
          <w:rFonts w:asciiTheme="majorHAnsi" w:eastAsiaTheme="majorEastAsia" w:hAnsiTheme="majorHAnsi" w:cstheme="majorBidi"/>
          <w:sz w:val="22"/>
          <w:szCs w:val="22"/>
        </w:rPr>
        <w:t xml:space="preserve">Equally, the Framework can play an important role in supporting stewardship investors, who – </w:t>
      </w:r>
      <w:r w:rsidR="2B588EDA" w:rsidRPr="4749BEE5">
        <w:rPr>
          <w:rFonts w:asciiTheme="majorHAnsi" w:eastAsiaTheme="majorEastAsia" w:hAnsiTheme="majorHAnsi" w:cstheme="majorBidi"/>
          <w:sz w:val="22"/>
          <w:szCs w:val="22"/>
        </w:rPr>
        <w:t>as fiduciaries</w:t>
      </w:r>
      <w:r w:rsidRPr="4749BEE5">
        <w:rPr>
          <w:rFonts w:asciiTheme="majorHAnsi" w:eastAsiaTheme="majorEastAsia" w:hAnsiTheme="majorHAnsi" w:cstheme="majorBidi"/>
          <w:sz w:val="22"/>
          <w:szCs w:val="22"/>
        </w:rPr>
        <w:t xml:space="preserve"> to investors and stakeholders – may be taking exposure to a broad and changing portfolio of novel technologies.  Their own fiduciary duties may be supported by modeling their practices on the Framework’s transparency- and assessment-based components, including early technology assessments that enable more nimble, reasoned investment processes within their risk appetite.   Understanding the Framework may also allow stewardship investors to assess the maturity of technology governance in their holdings the OECD benchmark, to assure for example that fund managers in their </w:t>
      </w:r>
      <w:proofErr w:type="gramStart"/>
      <w:r w:rsidRPr="4749BEE5">
        <w:rPr>
          <w:rFonts w:asciiTheme="majorHAnsi" w:eastAsiaTheme="majorEastAsia" w:hAnsiTheme="majorHAnsi" w:cstheme="majorBidi"/>
          <w:sz w:val="22"/>
          <w:szCs w:val="22"/>
        </w:rPr>
        <w:t>portfolio both</w:t>
      </w:r>
      <w:proofErr w:type="gramEnd"/>
      <w:r w:rsidRPr="4749BEE5">
        <w:rPr>
          <w:rFonts w:asciiTheme="majorHAnsi" w:eastAsiaTheme="majorEastAsia" w:hAnsiTheme="majorHAnsi" w:cstheme="majorBidi"/>
          <w:sz w:val="22"/>
          <w:szCs w:val="22"/>
        </w:rPr>
        <w:t xml:space="preserve"> can properly assess technology investment </w:t>
      </w:r>
      <w:r w:rsidR="4DFA6E95" w:rsidRPr="4749BEE5">
        <w:rPr>
          <w:rFonts w:asciiTheme="majorHAnsi" w:eastAsiaTheme="majorEastAsia" w:hAnsiTheme="majorHAnsi" w:cstheme="majorBidi"/>
          <w:sz w:val="22"/>
          <w:szCs w:val="22"/>
        </w:rPr>
        <w:t>opportunities and</w:t>
      </w:r>
      <w:r w:rsidRPr="4749BEE5">
        <w:rPr>
          <w:rFonts w:asciiTheme="majorHAnsi" w:eastAsiaTheme="majorEastAsia" w:hAnsiTheme="majorHAnsi" w:cstheme="majorBidi"/>
          <w:sz w:val="22"/>
          <w:szCs w:val="22"/>
        </w:rPr>
        <w:t xml:space="preserve"> add value to technology governance mechanisms in their own portfolio companies.  Finally, the Framework’s emphasis on assessment and sustainability may give stewardship investors adopting its approach comfort that they are indeed maximizing the long-term value of these investments, consistent with environmental and social considerations.</w:t>
      </w:r>
    </w:p>
    <w:sectPr w:rsidR="009301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AF5D" w14:textId="77777777" w:rsidR="007D102F" w:rsidRDefault="007D102F">
      <w:pPr>
        <w:spacing w:after="0" w:line="240" w:lineRule="auto"/>
      </w:pPr>
      <w:r>
        <w:separator/>
      </w:r>
    </w:p>
  </w:endnote>
  <w:endnote w:type="continuationSeparator" w:id="0">
    <w:p w14:paraId="7FA66EA1" w14:textId="77777777" w:rsidR="007D102F" w:rsidRDefault="007D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8BF434D" w14:paraId="3E743955" w14:textId="77777777" w:rsidTr="38BF434D">
      <w:trPr>
        <w:trHeight w:val="300"/>
      </w:trPr>
      <w:tc>
        <w:tcPr>
          <w:tcW w:w="3120" w:type="dxa"/>
        </w:tcPr>
        <w:p w14:paraId="08D4B66C" w14:textId="08747E85" w:rsidR="38BF434D" w:rsidRDefault="38BF434D" w:rsidP="38BF434D">
          <w:pPr>
            <w:pStyle w:val="Header"/>
            <w:ind w:left="-115"/>
          </w:pPr>
        </w:p>
      </w:tc>
      <w:tc>
        <w:tcPr>
          <w:tcW w:w="3120" w:type="dxa"/>
        </w:tcPr>
        <w:p w14:paraId="644F878A" w14:textId="478A7297" w:rsidR="38BF434D" w:rsidRDefault="38BF434D" w:rsidP="38BF434D">
          <w:pPr>
            <w:pStyle w:val="Header"/>
            <w:jc w:val="center"/>
          </w:pPr>
        </w:p>
      </w:tc>
      <w:tc>
        <w:tcPr>
          <w:tcW w:w="3120" w:type="dxa"/>
        </w:tcPr>
        <w:p w14:paraId="1CA4B3EB" w14:textId="2418D320" w:rsidR="38BF434D" w:rsidRDefault="38BF434D" w:rsidP="38BF434D">
          <w:pPr>
            <w:pStyle w:val="Header"/>
            <w:ind w:right="-115"/>
            <w:jc w:val="right"/>
          </w:pPr>
        </w:p>
      </w:tc>
    </w:tr>
  </w:tbl>
  <w:p w14:paraId="159D26E9" w14:textId="7FE5F4B0" w:rsidR="38BF434D" w:rsidRDefault="38BF434D" w:rsidP="38BF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3E24" w14:textId="77777777" w:rsidR="007D102F" w:rsidRDefault="007D102F">
      <w:pPr>
        <w:spacing w:after="0" w:line="240" w:lineRule="auto"/>
      </w:pPr>
      <w:r>
        <w:separator/>
      </w:r>
    </w:p>
  </w:footnote>
  <w:footnote w:type="continuationSeparator" w:id="0">
    <w:p w14:paraId="1304E3D8" w14:textId="77777777" w:rsidR="007D102F" w:rsidRDefault="007D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670"/>
      <w:gridCol w:w="345"/>
      <w:gridCol w:w="345"/>
    </w:tblGrid>
    <w:tr w:rsidR="38BF434D" w14:paraId="52536C33" w14:textId="77777777" w:rsidTr="38BF434D">
      <w:trPr>
        <w:trHeight w:val="300"/>
      </w:trPr>
      <w:tc>
        <w:tcPr>
          <w:tcW w:w="8670" w:type="dxa"/>
        </w:tcPr>
        <w:p w14:paraId="2BC75AD6" w14:textId="55CEE643" w:rsidR="38BF434D" w:rsidRDefault="38BF434D" w:rsidP="38BF434D">
          <w:pPr>
            <w:pStyle w:val="Header"/>
            <w:jc w:val="both"/>
            <w:rPr>
              <w:rFonts w:ascii="Aptos" w:eastAsia="Aptos" w:hAnsi="Aptos" w:cs="Aptos"/>
              <w:color w:val="000000" w:themeColor="text1"/>
              <w:sz w:val="22"/>
              <w:szCs w:val="22"/>
            </w:rPr>
          </w:pPr>
          <w:r w:rsidRPr="38BF434D">
            <w:rPr>
              <w:rFonts w:ascii="Aptos" w:eastAsia="Aptos" w:hAnsi="Aptos" w:cs="Aptos"/>
              <w:color w:val="000000" w:themeColor="text1"/>
              <w:sz w:val="22"/>
              <w:szCs w:val="22"/>
            </w:rPr>
            <w:t>Valoris Stewardship Catalysts LLC — Draft for Discussion Purposes Only</w:t>
          </w:r>
        </w:p>
      </w:tc>
      <w:tc>
        <w:tcPr>
          <w:tcW w:w="345" w:type="dxa"/>
        </w:tcPr>
        <w:p w14:paraId="35374F9C" w14:textId="22854D65" w:rsidR="38BF434D" w:rsidRDefault="38BF434D" w:rsidP="38BF434D">
          <w:pPr>
            <w:pStyle w:val="Header"/>
            <w:jc w:val="center"/>
          </w:pPr>
        </w:p>
      </w:tc>
      <w:tc>
        <w:tcPr>
          <w:tcW w:w="345" w:type="dxa"/>
        </w:tcPr>
        <w:p w14:paraId="3672926F" w14:textId="3C25011B" w:rsidR="38BF434D" w:rsidRDefault="38BF434D" w:rsidP="38BF434D">
          <w:pPr>
            <w:pStyle w:val="Header"/>
            <w:ind w:right="-115"/>
            <w:jc w:val="right"/>
          </w:pPr>
        </w:p>
      </w:tc>
    </w:tr>
  </w:tbl>
  <w:p w14:paraId="225C99CD" w14:textId="11B82C18" w:rsidR="38BF434D" w:rsidRDefault="38BF434D" w:rsidP="38BF4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6D2DB8"/>
    <w:rsid w:val="007C18CC"/>
    <w:rsid w:val="007D102F"/>
    <w:rsid w:val="008A7D3A"/>
    <w:rsid w:val="00930180"/>
    <w:rsid w:val="07A1C266"/>
    <w:rsid w:val="10F78197"/>
    <w:rsid w:val="17154ECE"/>
    <w:rsid w:val="1E82CD19"/>
    <w:rsid w:val="25C2CAFD"/>
    <w:rsid w:val="29A47136"/>
    <w:rsid w:val="2B588EDA"/>
    <w:rsid w:val="2ED5C189"/>
    <w:rsid w:val="38BF434D"/>
    <w:rsid w:val="472FAC64"/>
    <w:rsid w:val="4749BEE5"/>
    <w:rsid w:val="4A87DECF"/>
    <w:rsid w:val="4DFA6E95"/>
    <w:rsid w:val="4F9E7FB3"/>
    <w:rsid w:val="54E5D726"/>
    <w:rsid w:val="676D43DC"/>
    <w:rsid w:val="72CA256C"/>
    <w:rsid w:val="786D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2DB8"/>
  <w15:chartTrackingRefBased/>
  <w15:docId w15:val="{27E9CD0A-1B6C-4A2A-8DA6-0DDED909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10F78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10F78197"/>
    <w:rPr>
      <w:rFonts w:asciiTheme="majorHAnsi" w:eastAsiaTheme="majorEastAsia" w:hAnsiTheme="majorHAnsi" w:cstheme="majorBidi"/>
      <w:noProof w:val="0"/>
      <w:color w:val="0F4761" w:themeColor="accent1" w:themeShade="BF"/>
      <w:sz w:val="32"/>
      <w:szCs w:val="32"/>
      <w:lang w:val="en-US"/>
    </w:rPr>
  </w:style>
  <w:style w:type="paragraph" w:styleId="Header">
    <w:name w:val="header"/>
    <w:basedOn w:val="Normal"/>
    <w:uiPriority w:val="99"/>
    <w:unhideWhenUsed/>
    <w:rsid w:val="38BF434D"/>
    <w:pPr>
      <w:tabs>
        <w:tab w:val="center" w:pos="4680"/>
        <w:tab w:val="right" w:pos="9360"/>
      </w:tabs>
      <w:spacing w:after="0" w:line="240" w:lineRule="auto"/>
    </w:pPr>
  </w:style>
  <w:style w:type="paragraph" w:styleId="Footer">
    <w:name w:val="footer"/>
    <w:basedOn w:val="Normal"/>
    <w:uiPriority w:val="99"/>
    <w:unhideWhenUsed/>
    <w:rsid w:val="38BF434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A7102D4FE2345BB1676D56B87599A" ma:contentTypeVersion="18" ma:contentTypeDescription="Create a new document." ma:contentTypeScope="" ma:versionID="b049d7564c7952d47db2e04b451225dd">
  <xsd:schema xmlns:xsd="http://www.w3.org/2001/XMLSchema" xmlns:xs="http://www.w3.org/2001/XMLSchema" xmlns:p="http://schemas.microsoft.com/office/2006/metadata/properties" xmlns:ns2="59979867-ae60-4c09-9419-456a119c5e5d" xmlns:ns3="a5c2b294-c528-4a20-ad65-c7c85b38e20f" targetNamespace="http://schemas.microsoft.com/office/2006/metadata/properties" ma:root="true" ma:fieldsID="428cdf227800d9ccbd45e58f81925436" ns2:_="" ns3:_="">
    <xsd:import namespace="59979867-ae60-4c09-9419-456a119c5e5d"/>
    <xsd:import namespace="a5c2b294-c528-4a20-ad65-c7c85b38e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79867-ae60-4c09-9419-456a119c5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b00934-6f4e-431d-907a-2c5ffc4d62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2b294-c528-4a20-ad65-c7c85b38e2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2314f-1758-4e6a-a232-6cff1cca6dc3}" ma:internalName="TaxCatchAll" ma:showField="CatchAllData" ma:web="a5c2b294-c528-4a20-ad65-c7c85b38e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979867-ae60-4c09-9419-456a119c5e5d">
      <Terms xmlns="http://schemas.microsoft.com/office/infopath/2007/PartnerControls"/>
    </lcf76f155ced4ddcb4097134ff3c332f>
    <TaxCatchAll xmlns="a5c2b294-c528-4a20-ad65-c7c85b38e2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7EA11-513A-4D11-9305-254A50E8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79867-ae60-4c09-9419-456a119c5e5d"/>
    <ds:schemaRef ds:uri="a5c2b294-c528-4a20-ad65-c7c85b38e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218A6-7713-4982-9D0B-FD46DDE4FDDA}">
  <ds:schemaRefs>
    <ds:schemaRef ds:uri="http://schemas.microsoft.com/office/2006/metadata/properties"/>
    <ds:schemaRef ds:uri="http://schemas.microsoft.com/office/infopath/2007/PartnerControls"/>
    <ds:schemaRef ds:uri="59979867-ae60-4c09-9419-456a119c5e5d"/>
    <ds:schemaRef ds:uri="a5c2b294-c528-4a20-ad65-c7c85b38e20f"/>
  </ds:schemaRefs>
</ds:datastoreItem>
</file>

<file path=customXml/itemProps3.xml><?xml version="1.0" encoding="utf-8"?>
<ds:datastoreItem xmlns:ds="http://schemas.openxmlformats.org/officeDocument/2006/customXml" ds:itemID="{E535050B-4812-4E77-A513-2EA8CE0E2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1910</Words>
  <Characters>10893</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Ali</dc:creator>
  <cp:keywords/>
  <dc:description/>
  <cp:lastModifiedBy>Davit Karapetyan</cp:lastModifiedBy>
  <cp:revision>2</cp:revision>
  <dcterms:created xsi:type="dcterms:W3CDTF">2026-06-10T20:17:00Z</dcterms:created>
  <dcterms:modified xsi:type="dcterms:W3CDTF">2026-06-10T20:17:00Z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0x010100405A7102D4FE2345BB1676D56B87599A</vt:lpwstr>
  </property>
  <property fmtid="{D5CDD505-2E9C-101B-9397-08002B2CF9AE}" pid="3" name="MediaServiceImageTags">
    <vt:lpwstr/>
  </property>
</Properties>
</file>