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3BB9" w14:textId="06E94559" w:rsidR="00C70A9A" w:rsidRPr="001B67CD" w:rsidRDefault="00D36590" w:rsidP="00C10E18">
      <w:pPr>
        <w:spacing w:line="278" w:lineRule="auto"/>
        <w:ind w:left="0" w:firstLine="0"/>
        <w:jc w:val="center"/>
        <w:rPr>
          <w:rFonts w:asciiTheme="minorHAnsi" w:hAnsiTheme="minorHAnsi"/>
          <w:szCs w:val="22"/>
        </w:rPr>
      </w:pPr>
      <w:r w:rsidRPr="001B67CD">
        <w:rPr>
          <w:rFonts w:asciiTheme="minorHAnsi" w:hAnsiTheme="minorHAnsi"/>
          <w:b/>
          <w:szCs w:val="22"/>
        </w:rPr>
        <w:t>SUSTAINABILITY POLICY FOR NOVEL TECHNOLOGIES</w:t>
      </w:r>
    </w:p>
    <w:p w14:paraId="745FF801" w14:textId="77777777" w:rsidR="00C70A9A" w:rsidRPr="001B67CD" w:rsidRDefault="003A3A9C" w:rsidP="00C10E18">
      <w:pPr>
        <w:spacing w:line="278" w:lineRule="auto"/>
        <w:ind w:left="0" w:firstLine="0"/>
        <w:jc w:val="center"/>
        <w:rPr>
          <w:rFonts w:asciiTheme="minorHAnsi" w:hAnsiTheme="minorHAnsi"/>
          <w:szCs w:val="22"/>
        </w:rPr>
      </w:pPr>
      <w:r w:rsidRPr="001B67CD">
        <w:rPr>
          <w:rFonts w:asciiTheme="minorHAnsi" w:hAnsiTheme="minorHAnsi"/>
          <w:i/>
          <w:szCs w:val="22"/>
        </w:rPr>
        <w:t>Effective [Date]</w:t>
      </w:r>
    </w:p>
    <w:p w14:paraId="20BA295D" w14:textId="77777777" w:rsidR="00C70A9A" w:rsidRPr="001B67CD" w:rsidRDefault="003A3A9C" w:rsidP="001B52BB">
      <w:pPr>
        <w:pStyle w:val="Heading1"/>
        <w:spacing w:after="167" w:line="278" w:lineRule="auto"/>
        <w:ind w:left="-5"/>
        <w:rPr>
          <w:rFonts w:asciiTheme="minorHAnsi" w:hAnsiTheme="minorHAnsi"/>
        </w:rPr>
      </w:pPr>
      <w:r w:rsidRPr="001B52BB">
        <w:rPr>
          <w:rFonts w:asciiTheme="minorHAnsi" w:hAnsiTheme="minorHAnsi"/>
        </w:rPr>
        <w:t>I. INTRODUCTION</w:t>
      </w:r>
    </w:p>
    <w:p w14:paraId="10AEDA72" w14:textId="4BEDB258" w:rsidR="345453E8" w:rsidRDefault="345453E8" w:rsidP="001B52BB">
      <w:pPr>
        <w:numPr>
          <w:ilvl w:val="0"/>
          <w:numId w:val="13"/>
        </w:numPr>
        <w:spacing w:line="278" w:lineRule="auto"/>
        <w:ind w:left="10" w:right="-15"/>
        <w:jc w:val="left"/>
        <w:rPr>
          <w:rFonts w:ascii="Aptos" w:hAnsi="Aptos"/>
          <w:szCs w:val="22"/>
        </w:rPr>
      </w:pPr>
      <w:r w:rsidRPr="001B52BB">
        <w:rPr>
          <w:rFonts w:ascii="Aptos" w:hAnsi="Aptos"/>
          <w:szCs w:val="22"/>
        </w:rPr>
        <w:t>The Investor strives for positive development outcomes in the activities it supports through investments and advisory services. These activities include (i) investments financed directly by the Investor; (ii) investments implemented through financial intermediaries or managed by the Investor's subsidiaries; and (iii) advisory services. The Investor believes that an important component of achieving positive development outcomes is the technology governance and sustainability of these activities, which the Investor pursues and expects to achieve through the application of this Policy on Technology Governance and Sustainability, and a comprehensive set of technology governance Performance Standards.</w:t>
      </w:r>
    </w:p>
    <w:p w14:paraId="4AF9EA61" w14:textId="72F4C5F9" w:rsidR="345453E8" w:rsidRDefault="345453E8" w:rsidP="001B52BB">
      <w:pPr>
        <w:numPr>
          <w:ilvl w:val="0"/>
          <w:numId w:val="13"/>
        </w:numPr>
        <w:spacing w:line="278" w:lineRule="auto"/>
        <w:ind w:left="10" w:right="-15"/>
        <w:jc w:val="left"/>
        <w:rPr>
          <w:rFonts w:ascii="Aptos" w:hAnsi="Aptos"/>
          <w:szCs w:val="22"/>
        </w:rPr>
      </w:pPr>
      <w:r w:rsidRPr="001B52BB">
        <w:rPr>
          <w:rFonts w:ascii="Aptos" w:hAnsi="Aptos"/>
          <w:szCs w:val="22"/>
        </w:rPr>
        <w:t>This Policy defines the Investor's responsibility in supporting portfolio performance in partnership with clients, incorporating technology governance considerations as an integral part of investment stewardship and risk management. The Investor recognizes that novel and emerging technologies represent both unprecedented opportunities for long-term value creation and potential sources of new risks to stakeholders, society, and environmental systems.</w:t>
      </w:r>
    </w:p>
    <w:p w14:paraId="6302815F" w14:textId="542578FD" w:rsidR="345453E8" w:rsidRDefault="345453E8" w:rsidP="001B52BB">
      <w:pPr>
        <w:numPr>
          <w:ilvl w:val="0"/>
          <w:numId w:val="13"/>
        </w:numPr>
        <w:spacing w:line="278" w:lineRule="auto"/>
        <w:ind w:left="10" w:right="-15"/>
        <w:jc w:val="left"/>
        <w:rPr>
          <w:rFonts w:ascii="Aptos" w:hAnsi="Aptos"/>
          <w:szCs w:val="22"/>
        </w:rPr>
      </w:pPr>
      <w:r w:rsidRPr="001B52BB">
        <w:rPr>
          <w:rFonts w:ascii="Aptos" w:hAnsi="Aptos"/>
          <w:szCs w:val="22"/>
        </w:rPr>
        <w:t>This Policy applies to all business activities where novel technologies constitute a material aspect of the business activity or where such technologies may generate significant technology governance risks and impacts. This includes artificial intelligence and machine learning systems, biotechnology applications, cybersecurity technologies, quantum computing, nanotechnology, geoengineering, and other emerging technologies with transformative potential.</w:t>
      </w:r>
    </w:p>
    <w:p w14:paraId="4F7A8FEF" w14:textId="10382AE7" w:rsidR="345453E8" w:rsidRDefault="345453E8" w:rsidP="001B52BB">
      <w:pPr>
        <w:numPr>
          <w:ilvl w:val="0"/>
          <w:numId w:val="13"/>
        </w:numPr>
        <w:spacing w:line="278" w:lineRule="auto"/>
        <w:ind w:left="10" w:right="-15"/>
        <w:jc w:val="left"/>
        <w:rPr>
          <w:rFonts w:ascii="Aptos" w:hAnsi="Aptos"/>
          <w:szCs w:val="22"/>
        </w:rPr>
      </w:pPr>
      <w:r w:rsidRPr="001B52BB">
        <w:rPr>
          <w:rFonts w:ascii="Aptos" w:hAnsi="Aptos"/>
          <w:szCs w:val="22"/>
        </w:rPr>
        <w:t>For purposes of this Sustainability Policy, "novel technologies" refers to innovations that introduce fundamentally new approaches, methods, or solutions, in each case that represent a significant departure from existing technologies. In particular, novel technologies employ previously unknown, unexplored principles, mechanisms, or applications rather than incremental improvements to existing solutions, or known principles and applications that have not previously been broadly commercialized at scale. Further, because they are untested at scale, these technologies carry significant uncertainty about their practical viability, adoption timeline, and ultimate impact.</w:t>
      </w:r>
    </w:p>
    <w:p w14:paraId="76AD3A58" w14:textId="6B68A39B" w:rsidR="001B52BB" w:rsidRDefault="001B52BB" w:rsidP="001B52BB">
      <w:pPr>
        <w:spacing w:line="278" w:lineRule="auto"/>
        <w:ind w:right="-15"/>
        <w:jc w:val="left"/>
        <w:rPr>
          <w:rFonts w:ascii="Aptos" w:hAnsi="Aptos"/>
          <w:szCs w:val="22"/>
        </w:rPr>
      </w:pPr>
    </w:p>
    <w:p w14:paraId="50A48DCA" w14:textId="02FE9DC1" w:rsidR="345453E8" w:rsidRDefault="345453E8" w:rsidP="001B52BB">
      <w:pPr>
        <w:spacing w:line="278" w:lineRule="auto"/>
        <w:ind w:left="0" w:right="-15" w:firstLine="0"/>
        <w:jc w:val="left"/>
        <w:rPr>
          <w:rFonts w:ascii="Aptos" w:hAnsi="Aptos"/>
          <w:b/>
          <w:bCs/>
          <w:szCs w:val="22"/>
        </w:rPr>
      </w:pPr>
      <w:r w:rsidRPr="001B52BB">
        <w:rPr>
          <w:rFonts w:ascii="Aptos" w:hAnsi="Aptos"/>
          <w:b/>
          <w:bCs/>
          <w:szCs w:val="22"/>
        </w:rPr>
        <w:t>II. THE INVESTOR'S COMMITMENTS</w:t>
      </w:r>
    </w:p>
    <w:p w14:paraId="7D332BD1" w14:textId="588CBD97" w:rsidR="345453E8" w:rsidRDefault="345453E8" w:rsidP="001B52BB">
      <w:pPr>
        <w:numPr>
          <w:ilvl w:val="0"/>
          <w:numId w:val="12"/>
        </w:numPr>
        <w:spacing w:line="278" w:lineRule="auto"/>
        <w:ind w:left="10" w:right="-15"/>
        <w:jc w:val="left"/>
        <w:rPr>
          <w:rFonts w:ascii="Aptos" w:hAnsi="Aptos"/>
          <w:szCs w:val="22"/>
        </w:rPr>
      </w:pPr>
      <w:r w:rsidRPr="001B52BB">
        <w:rPr>
          <w:rFonts w:ascii="Aptos" w:hAnsi="Aptos"/>
          <w:szCs w:val="22"/>
        </w:rPr>
        <w:t>The Investor is committed to ensuring that the business activities it finances are implemented in accordance with Performance Standard 9¾ (the "Novel Technologies Standard"). The Investor will use due diligence, monitoring, and supervision to verify the client's compliance with the Novel Technology Standard.</w:t>
      </w:r>
    </w:p>
    <w:p w14:paraId="3324C608" w14:textId="2E967BBB" w:rsidR="345453E8" w:rsidRDefault="345453E8" w:rsidP="001B52BB">
      <w:pPr>
        <w:numPr>
          <w:ilvl w:val="0"/>
          <w:numId w:val="12"/>
        </w:numPr>
        <w:spacing w:line="278" w:lineRule="auto"/>
        <w:ind w:left="10" w:right="-15"/>
        <w:jc w:val="left"/>
        <w:rPr>
          <w:rFonts w:ascii="Aptos" w:hAnsi="Aptos"/>
          <w:szCs w:val="22"/>
        </w:rPr>
      </w:pPr>
      <w:r w:rsidRPr="001B52BB">
        <w:rPr>
          <w:rFonts w:ascii="Aptos" w:hAnsi="Aptos"/>
          <w:szCs w:val="22"/>
        </w:rPr>
        <w:t xml:space="preserve">When assessing the risks and impacts of business activities, the Investor will favor the protection of human rights and will not finance projects where the client will not or is unable to comply with such </w:t>
      </w:r>
      <w:r w:rsidRPr="001B52BB">
        <w:rPr>
          <w:rFonts w:ascii="Aptos" w:hAnsi="Aptos"/>
          <w:szCs w:val="22"/>
        </w:rPr>
        <w:lastRenderedPageBreak/>
        <w:t>Novel Technologies Standard. The Investor requires clients to manage technology governance risks and impacts in accordance with the Novel Technologies Standard, which is an integral part of the Investor's decision-making process.</w:t>
      </w:r>
    </w:p>
    <w:p w14:paraId="0C53B050" w14:textId="3DFB5194" w:rsidR="345453E8" w:rsidRDefault="345453E8" w:rsidP="001B52BB">
      <w:pPr>
        <w:numPr>
          <w:ilvl w:val="0"/>
          <w:numId w:val="12"/>
        </w:numPr>
        <w:spacing w:line="278" w:lineRule="auto"/>
        <w:ind w:left="10" w:right="-15"/>
        <w:jc w:val="left"/>
        <w:rPr>
          <w:rFonts w:ascii="Aptos" w:hAnsi="Aptos"/>
          <w:szCs w:val="22"/>
        </w:rPr>
      </w:pPr>
      <w:r w:rsidRPr="001B52BB">
        <w:rPr>
          <w:rFonts w:ascii="Aptos" w:hAnsi="Aptos"/>
          <w:szCs w:val="22"/>
        </w:rPr>
        <w:t>The Investor commits to carrying out its business activities in a manner designed to promote sound technology governance by its clients and to contribute to sustainable development. This includes promoting responsible innovation, ensuring technology investments respect human rights and environmental values, fostering inclusive technology governance with meaningful stakeholder participation, and supporting international cooperation in technology governance standards.</w:t>
      </w:r>
    </w:p>
    <w:p w14:paraId="5DAEE66E" w14:textId="31C8B960" w:rsidR="345453E8" w:rsidRDefault="345453E8" w:rsidP="001B52BB">
      <w:pPr>
        <w:numPr>
          <w:ilvl w:val="0"/>
          <w:numId w:val="12"/>
        </w:numPr>
        <w:spacing w:line="278" w:lineRule="auto"/>
        <w:ind w:left="10" w:right="-15"/>
        <w:jc w:val="left"/>
        <w:rPr>
          <w:rFonts w:ascii="Aptos" w:hAnsi="Aptos"/>
          <w:szCs w:val="22"/>
        </w:rPr>
      </w:pPr>
      <w:r w:rsidRPr="001B52BB">
        <w:rPr>
          <w:rFonts w:ascii="Aptos" w:hAnsi="Aptos"/>
          <w:szCs w:val="22"/>
        </w:rPr>
        <w:t>The Investor will provide clients with technical assistance to build their capacity for technology governance and to enhance development outcomes. When necessary, the Investor will work with clients to build institutional capacity for effective implementation of technology governance systems and to enhance positive development outcomes.</w:t>
      </w:r>
    </w:p>
    <w:p w14:paraId="5E0BBA6A" w14:textId="6F870AF8" w:rsidR="345453E8" w:rsidRDefault="345453E8" w:rsidP="001B52BB">
      <w:pPr>
        <w:numPr>
          <w:ilvl w:val="0"/>
          <w:numId w:val="12"/>
        </w:numPr>
        <w:spacing w:line="278" w:lineRule="auto"/>
        <w:ind w:left="10" w:right="-15"/>
        <w:jc w:val="left"/>
        <w:rPr>
          <w:rFonts w:ascii="Aptos" w:hAnsi="Aptos"/>
          <w:szCs w:val="22"/>
        </w:rPr>
      </w:pPr>
      <w:r w:rsidRPr="001B52BB">
        <w:rPr>
          <w:rFonts w:ascii="Aptos" w:hAnsi="Aptos"/>
          <w:szCs w:val="22"/>
        </w:rPr>
        <w:t>The Investor recognizes the importance of climate change and commits to evaluating all business activities for their greenhouse gas emission impacts and climate risks, with particular attention to technology-enabled solutions for climate mitigation and adaptation.</w:t>
      </w:r>
    </w:p>
    <w:p w14:paraId="62DA768E" w14:textId="6B926A12" w:rsidR="001B52BB" w:rsidRDefault="001B52BB" w:rsidP="001B52BB">
      <w:pPr>
        <w:spacing w:line="278" w:lineRule="auto"/>
        <w:ind w:right="-15"/>
        <w:jc w:val="left"/>
        <w:rPr>
          <w:rFonts w:ascii="Aptos" w:hAnsi="Aptos"/>
          <w:szCs w:val="22"/>
        </w:rPr>
      </w:pPr>
    </w:p>
    <w:p w14:paraId="08308568" w14:textId="27CEF5BA" w:rsidR="345453E8" w:rsidRDefault="345453E8" w:rsidP="001B52BB">
      <w:pPr>
        <w:spacing w:line="278" w:lineRule="auto"/>
        <w:ind w:right="-15"/>
        <w:jc w:val="left"/>
        <w:rPr>
          <w:rFonts w:ascii="Aptos" w:hAnsi="Aptos"/>
          <w:b/>
          <w:bCs/>
          <w:szCs w:val="22"/>
        </w:rPr>
      </w:pPr>
      <w:r w:rsidRPr="001B52BB">
        <w:rPr>
          <w:rFonts w:ascii="Aptos" w:hAnsi="Aptos"/>
          <w:b/>
          <w:bCs/>
          <w:szCs w:val="22"/>
        </w:rPr>
        <w:t>III. THE INVESTOR'S ROLES AND RESPONSIBILITIES</w:t>
      </w:r>
    </w:p>
    <w:p w14:paraId="065D3447" w14:textId="554E8B38" w:rsidR="345453E8" w:rsidRDefault="345453E8" w:rsidP="001B52BB">
      <w:pPr>
        <w:spacing w:line="278" w:lineRule="auto"/>
        <w:ind w:right="-15"/>
        <w:jc w:val="left"/>
        <w:rPr>
          <w:rFonts w:ascii="Aptos" w:hAnsi="Aptos"/>
          <w:b/>
          <w:bCs/>
          <w:szCs w:val="22"/>
        </w:rPr>
      </w:pPr>
      <w:r w:rsidRPr="001B52BB">
        <w:rPr>
          <w:rFonts w:ascii="Aptos" w:hAnsi="Aptos"/>
          <w:b/>
          <w:bCs/>
          <w:szCs w:val="22"/>
        </w:rPr>
        <w:t>A. Technology Governance Due Diligence</w:t>
      </w:r>
    </w:p>
    <w:p w14:paraId="2DE947A3" w14:textId="165F7CA7" w:rsidR="345453E8" w:rsidRDefault="345453E8" w:rsidP="001B52BB">
      <w:pPr>
        <w:numPr>
          <w:ilvl w:val="0"/>
          <w:numId w:val="11"/>
        </w:numPr>
        <w:spacing w:line="278" w:lineRule="auto"/>
        <w:ind w:left="10" w:right="-15"/>
        <w:jc w:val="left"/>
        <w:rPr>
          <w:rFonts w:ascii="Aptos" w:hAnsi="Aptos"/>
          <w:szCs w:val="22"/>
        </w:rPr>
      </w:pPr>
      <w:r w:rsidRPr="001B52BB">
        <w:rPr>
          <w:rFonts w:ascii="Aptos" w:hAnsi="Aptos"/>
          <w:szCs w:val="22"/>
        </w:rPr>
        <w:t>The Investor will conduct technology due diligence to identify the technology risks and impacts of a proposed business activity. The Investor will require clients to continuously assess the technology governance risks and impacts of the projects. When necessary, the Investor will require clients to retain competent external experts to assist in the identification and assessment of technology governance risks and impacts.</w:t>
      </w:r>
    </w:p>
    <w:p w14:paraId="2A6D8A0E" w14:textId="1EFE68CE" w:rsidR="345453E8" w:rsidRDefault="345453E8" w:rsidP="001B52BB">
      <w:pPr>
        <w:numPr>
          <w:ilvl w:val="0"/>
          <w:numId w:val="11"/>
        </w:numPr>
        <w:spacing w:line="278" w:lineRule="auto"/>
        <w:ind w:left="10" w:right="-15"/>
        <w:jc w:val="left"/>
        <w:rPr>
          <w:rFonts w:ascii="Aptos" w:hAnsi="Aptos"/>
          <w:szCs w:val="22"/>
        </w:rPr>
      </w:pPr>
      <w:r w:rsidRPr="001B52BB">
        <w:rPr>
          <w:rFonts w:ascii="Aptos" w:hAnsi="Aptos"/>
          <w:szCs w:val="22"/>
        </w:rPr>
        <w:t>The Investor will review the client's capacity for managing technology governance risks and will require the client to develop and implement a technology governance system appropriate to the nature and scale of the business activity, but in any event commensurate with the level of technology governance risks and impacts.</w:t>
      </w:r>
    </w:p>
    <w:p w14:paraId="07C0C2BD" w14:textId="745C4BAC" w:rsidR="345453E8" w:rsidRDefault="345453E8" w:rsidP="001B52BB">
      <w:pPr>
        <w:numPr>
          <w:ilvl w:val="0"/>
          <w:numId w:val="11"/>
        </w:numPr>
        <w:spacing w:line="278" w:lineRule="auto"/>
        <w:ind w:left="10" w:right="-15"/>
        <w:jc w:val="left"/>
        <w:rPr>
          <w:rFonts w:ascii="Aptos" w:hAnsi="Aptos"/>
          <w:szCs w:val="22"/>
        </w:rPr>
      </w:pPr>
      <w:r w:rsidRPr="001B52BB">
        <w:rPr>
          <w:rFonts w:ascii="Aptos" w:hAnsi="Aptos"/>
          <w:szCs w:val="22"/>
        </w:rPr>
        <w:t>The Investor will require clients to implement the Novel Technologies Standard throughout the life of the project. When a client's technology governance system, or its capacity to implement the system, does not meet the Novel Technology Standard, the Investor will require that the client establish and implement an Action Plan. The Action Plan will describe the measures necessary for the client to meet the Novel Technology Standard within an agreed timeframe, and to avoid harm to affected communities and stakeholders until that time, and will be reflected in the legal documentation.</w:t>
      </w:r>
    </w:p>
    <w:p w14:paraId="4457D1B3" w14:textId="17923D0C" w:rsidR="345453E8" w:rsidRDefault="345453E8" w:rsidP="001B52BB">
      <w:pPr>
        <w:spacing w:line="278" w:lineRule="auto"/>
        <w:ind w:right="-15"/>
        <w:jc w:val="left"/>
        <w:rPr>
          <w:rFonts w:ascii="Aptos" w:hAnsi="Aptos"/>
          <w:b/>
          <w:bCs/>
          <w:szCs w:val="22"/>
        </w:rPr>
      </w:pPr>
      <w:r w:rsidRPr="001B52BB">
        <w:rPr>
          <w:rFonts w:ascii="Aptos" w:hAnsi="Aptos"/>
          <w:b/>
          <w:bCs/>
          <w:szCs w:val="22"/>
        </w:rPr>
        <w:t>B. Technology Governance Due Diligence for Direct Investments</w:t>
      </w:r>
    </w:p>
    <w:p w14:paraId="772F5B62" w14:textId="1D07238C" w:rsidR="345453E8" w:rsidRDefault="345453E8" w:rsidP="001B52BB">
      <w:pPr>
        <w:numPr>
          <w:ilvl w:val="0"/>
          <w:numId w:val="10"/>
        </w:numPr>
        <w:spacing w:line="278" w:lineRule="auto"/>
        <w:ind w:left="10" w:right="-15"/>
        <w:jc w:val="left"/>
        <w:rPr>
          <w:rFonts w:ascii="Aptos" w:hAnsi="Aptos"/>
          <w:szCs w:val="22"/>
        </w:rPr>
      </w:pPr>
      <w:r w:rsidRPr="001B52BB">
        <w:rPr>
          <w:rFonts w:ascii="Aptos" w:hAnsi="Aptos"/>
          <w:szCs w:val="22"/>
        </w:rPr>
        <w:lastRenderedPageBreak/>
        <w:t>For direct investments, the Investor will conduct technology due diligence of the project to identify technology risks and impacts. Due diligence will include a review of relevant technology studies and documentation related to the project, and may include interviews with project sponsors, site visits, and interviews with locally affected communities and other stakeholders.</w:t>
      </w:r>
    </w:p>
    <w:p w14:paraId="0A3DA462" w14:textId="24C7FF9B" w:rsidR="345453E8" w:rsidRDefault="345453E8" w:rsidP="001B52BB">
      <w:pPr>
        <w:numPr>
          <w:ilvl w:val="0"/>
          <w:numId w:val="10"/>
        </w:numPr>
        <w:spacing w:line="278" w:lineRule="auto"/>
        <w:ind w:left="10" w:right="-15"/>
        <w:jc w:val="left"/>
        <w:rPr>
          <w:rFonts w:ascii="Aptos" w:hAnsi="Aptos"/>
          <w:szCs w:val="22"/>
        </w:rPr>
      </w:pPr>
      <w:r w:rsidRPr="001B52BB">
        <w:rPr>
          <w:rFonts w:ascii="Aptos" w:hAnsi="Aptos"/>
          <w:szCs w:val="22"/>
        </w:rPr>
        <w:t>Subject as provided in paragraph 11, the Investor will require the client to demonstrate that it has systematically addressed the technology risks and impacts of the business activity and has developed measures that are consistent with, or exceed, the Novel Technologies Standard. When the client's system does not meet the Performance Standards, the Investor will require that the client establish and implement an Action Plan.</w:t>
      </w:r>
    </w:p>
    <w:p w14:paraId="549FB580" w14:textId="513041E7" w:rsidR="345453E8" w:rsidRDefault="345453E8" w:rsidP="001B52BB">
      <w:pPr>
        <w:numPr>
          <w:ilvl w:val="0"/>
          <w:numId w:val="10"/>
        </w:numPr>
        <w:spacing w:line="278" w:lineRule="auto"/>
        <w:ind w:left="10" w:right="-15"/>
        <w:jc w:val="left"/>
        <w:rPr>
          <w:rFonts w:ascii="Aptos" w:hAnsi="Aptos"/>
          <w:szCs w:val="22"/>
        </w:rPr>
      </w:pPr>
      <w:r w:rsidRPr="001B52BB">
        <w:rPr>
          <w:rFonts w:ascii="Aptos" w:hAnsi="Aptos"/>
          <w:szCs w:val="22"/>
        </w:rPr>
        <w:t>For business activities with potential significant adverse technology impacts that may be diverse, irreversible, or unprecedented, or pose a risk of significant material harm, the Investor may require that the client retain independent technology consultants to conduct an independent review of the project.</w:t>
      </w:r>
    </w:p>
    <w:p w14:paraId="7D6E0D17" w14:textId="133F2A17" w:rsidR="345453E8" w:rsidRDefault="345453E8" w:rsidP="001B52BB">
      <w:pPr>
        <w:spacing w:line="278" w:lineRule="auto"/>
        <w:ind w:right="-15"/>
        <w:jc w:val="left"/>
        <w:rPr>
          <w:rFonts w:ascii="Aptos" w:hAnsi="Aptos"/>
          <w:b/>
          <w:bCs/>
          <w:szCs w:val="22"/>
        </w:rPr>
      </w:pPr>
      <w:r w:rsidRPr="001B52BB">
        <w:rPr>
          <w:rFonts w:ascii="Aptos" w:hAnsi="Aptos"/>
          <w:b/>
          <w:bCs/>
          <w:szCs w:val="22"/>
        </w:rPr>
        <w:t>C. Technology Governance for Investments Through Financial Intermediaries</w:t>
      </w:r>
    </w:p>
    <w:p w14:paraId="4B6E55E5" w14:textId="19354C26" w:rsidR="345453E8" w:rsidRDefault="345453E8" w:rsidP="001B52BB">
      <w:pPr>
        <w:numPr>
          <w:ilvl w:val="0"/>
          <w:numId w:val="9"/>
        </w:numPr>
        <w:spacing w:line="278" w:lineRule="auto"/>
        <w:ind w:left="10" w:right="-15"/>
        <w:jc w:val="left"/>
        <w:rPr>
          <w:rFonts w:ascii="Aptos" w:hAnsi="Aptos"/>
          <w:szCs w:val="22"/>
        </w:rPr>
      </w:pPr>
      <w:r w:rsidRPr="001B52BB">
        <w:rPr>
          <w:rFonts w:ascii="Aptos" w:hAnsi="Aptos"/>
          <w:szCs w:val="22"/>
        </w:rPr>
        <w:t>When providing financing to a financial intermediary, the Investor will require the financial intermediary to apply technology governance standards in compliance with the Novel Technologies Standard. The Investor will require the financial intermediary to adopt and implement a technology governance system and procedures so that subprojects are implemented in accordance with the Performance Standards.</w:t>
      </w:r>
    </w:p>
    <w:p w14:paraId="69086879" w14:textId="620EE91B" w:rsidR="345453E8" w:rsidRDefault="345453E8" w:rsidP="001B52BB">
      <w:pPr>
        <w:numPr>
          <w:ilvl w:val="0"/>
          <w:numId w:val="9"/>
        </w:numPr>
        <w:spacing w:line="278" w:lineRule="auto"/>
        <w:ind w:left="10" w:right="-15"/>
        <w:jc w:val="left"/>
        <w:rPr>
          <w:rFonts w:ascii="Aptos" w:hAnsi="Aptos"/>
          <w:szCs w:val="22"/>
        </w:rPr>
      </w:pPr>
      <w:r w:rsidRPr="001B52BB">
        <w:rPr>
          <w:rFonts w:ascii="Aptos" w:hAnsi="Aptos"/>
          <w:szCs w:val="22"/>
        </w:rPr>
        <w:t>The Investor will require the financial intermediary to: (i) conduct technology due diligence of proposed sub-projects using technology specialists; (ii) monitor the technology governance performance of sub-projects in its existing portfolio; (iii) provide annual reports to the Investor on the portfolio's technology governance performance; and (iv) develop the institutional capacity and expertise necessary to implement these requirements. The investor will also require the financial intermediary, as appropriate, to advise and support sub-projects in complying with the Novel Technologies Standard, including, by way of example, anticipatory identification and assessment of emerging novel technology opportunities and risks.</w:t>
      </w:r>
    </w:p>
    <w:p w14:paraId="1739324B" w14:textId="2ABE4748" w:rsidR="345453E8" w:rsidRDefault="345453E8" w:rsidP="001B52BB">
      <w:pPr>
        <w:numPr>
          <w:ilvl w:val="0"/>
          <w:numId w:val="9"/>
        </w:numPr>
        <w:spacing w:line="278" w:lineRule="auto"/>
        <w:ind w:left="10" w:right="-15"/>
        <w:jc w:val="left"/>
        <w:rPr>
          <w:rFonts w:ascii="Aptos" w:hAnsi="Aptos"/>
          <w:szCs w:val="22"/>
        </w:rPr>
      </w:pPr>
      <w:r w:rsidRPr="001B52BB">
        <w:rPr>
          <w:rFonts w:ascii="Aptos" w:hAnsi="Aptos"/>
          <w:szCs w:val="22"/>
        </w:rPr>
        <w:t>The Investor will monitor the financial intermediary's compliance with the Novel Technologies Standard through review of annual monitoring reports prepared by the financial intermediary and, in higher risk situations, site visits to the financial intermediary and sub-projects. The Investor will provide technical assistance to the financial intermediary as necessary to strengthen the intermediary's capacity for technology governance risk management.</w:t>
      </w:r>
    </w:p>
    <w:p w14:paraId="7F334C7E" w14:textId="37D8BACD" w:rsidR="345453E8" w:rsidRDefault="345453E8" w:rsidP="001B52BB">
      <w:pPr>
        <w:spacing w:line="278" w:lineRule="auto"/>
        <w:ind w:right="-15"/>
        <w:jc w:val="left"/>
        <w:rPr>
          <w:rFonts w:ascii="Aptos" w:hAnsi="Aptos"/>
          <w:b/>
          <w:bCs/>
          <w:szCs w:val="22"/>
        </w:rPr>
      </w:pPr>
      <w:r w:rsidRPr="001B52BB">
        <w:rPr>
          <w:rFonts w:ascii="Aptos" w:hAnsi="Aptos"/>
          <w:b/>
          <w:bCs/>
          <w:szCs w:val="22"/>
        </w:rPr>
        <w:t>D. Technology Governance and Social Categorization</w:t>
      </w:r>
    </w:p>
    <w:p w14:paraId="16A2476D" w14:textId="1E919006" w:rsidR="345453E8" w:rsidRDefault="345453E8" w:rsidP="001B52BB">
      <w:pPr>
        <w:numPr>
          <w:ilvl w:val="0"/>
          <w:numId w:val="8"/>
        </w:numPr>
        <w:spacing w:line="278" w:lineRule="auto"/>
        <w:ind w:left="10" w:right="-15"/>
        <w:jc w:val="left"/>
        <w:rPr>
          <w:rFonts w:ascii="Aptos" w:hAnsi="Aptos"/>
          <w:szCs w:val="22"/>
        </w:rPr>
      </w:pPr>
      <w:r w:rsidRPr="001B52BB">
        <w:rPr>
          <w:rFonts w:ascii="Aptos" w:hAnsi="Aptos"/>
          <w:szCs w:val="22"/>
        </w:rPr>
        <w:t>The Investor will categorize projects according to their magnitude of technology governance risks and impacts. This categorization will determine the nature and level of technology governance requirements, including the level of assessment, and institutional monitoring required the client to manage technology risks and impacts responsibly and achieve suitable development outcomes.</w:t>
      </w:r>
    </w:p>
    <w:p w14:paraId="27D457C7" w14:textId="52C417F2" w:rsidR="345453E8" w:rsidRDefault="345453E8" w:rsidP="001B52BB">
      <w:pPr>
        <w:numPr>
          <w:ilvl w:val="0"/>
          <w:numId w:val="8"/>
        </w:numPr>
        <w:spacing w:line="278" w:lineRule="auto"/>
        <w:ind w:left="10" w:right="-15"/>
        <w:jc w:val="left"/>
        <w:rPr>
          <w:rFonts w:ascii="Aptos" w:hAnsi="Aptos"/>
          <w:szCs w:val="22"/>
        </w:rPr>
      </w:pPr>
      <w:r w:rsidRPr="001B52BB">
        <w:rPr>
          <w:rFonts w:ascii="Aptos" w:hAnsi="Aptos"/>
          <w:b/>
          <w:bCs/>
          <w:szCs w:val="22"/>
        </w:rPr>
        <w:lastRenderedPageBreak/>
        <w:t>Category A:</w:t>
      </w:r>
      <w:r w:rsidRPr="001B52BB">
        <w:rPr>
          <w:rFonts w:ascii="Aptos" w:hAnsi="Aptos"/>
          <w:szCs w:val="22"/>
        </w:rPr>
        <w:t xml:space="preserve"> Business activities with potential significant adverse technology risks or impacts that are diverse, irreversible, or unprecedented, or pose a risk of immediate social or environmental harm. These projects require a comprehensive, documented technology impact assessment, identifying gaps in performance, if any, with respect to the Novel Technologies Standard. By way of example, Category A business activities include: general-purpose AI systems with societal deployment; dual-use biotechnology with security implications; autonomous systems in safety-critical applications; critical infrastructure technologies with systemic risk potential; and geoengineering technologies with environmental modification capabilities.</w:t>
      </w:r>
    </w:p>
    <w:p w14:paraId="0ED00A98" w14:textId="2810B0A5" w:rsidR="345453E8" w:rsidRDefault="345453E8" w:rsidP="001B52BB">
      <w:pPr>
        <w:numPr>
          <w:ilvl w:val="0"/>
          <w:numId w:val="8"/>
        </w:numPr>
        <w:spacing w:line="278" w:lineRule="auto"/>
        <w:ind w:left="10" w:right="-15"/>
        <w:jc w:val="left"/>
        <w:rPr>
          <w:rFonts w:ascii="Aptos" w:hAnsi="Aptos"/>
          <w:szCs w:val="22"/>
        </w:rPr>
      </w:pPr>
      <w:r w:rsidRPr="001B52BB">
        <w:rPr>
          <w:rFonts w:ascii="Aptos" w:hAnsi="Aptos"/>
          <w:b/>
          <w:bCs/>
          <w:szCs w:val="22"/>
        </w:rPr>
        <w:t>Category B:</w:t>
      </w:r>
      <w:r w:rsidRPr="001B52BB">
        <w:rPr>
          <w:rFonts w:ascii="Aptos" w:hAnsi="Aptos"/>
          <w:szCs w:val="22"/>
        </w:rPr>
        <w:t xml:space="preserve"> Business activities with potential material adverse technology risks or impacts that are few in number, reversible, and readily addressed through mitigation measures. These projects require a more limited technology impact assessment, focusing on key risk areas agreed with the client. By way of example, Category B projects include: domain-specific AI applications; established biotechnology applications; cybersecurity tools and defensive technologies; data analytics platforms with privacy considerations; and specialized robotics applications.</w:t>
      </w:r>
    </w:p>
    <w:p w14:paraId="7D6A1C19" w14:textId="4C4EC264" w:rsidR="345453E8" w:rsidRDefault="345453E8" w:rsidP="001B52BB">
      <w:pPr>
        <w:numPr>
          <w:ilvl w:val="0"/>
          <w:numId w:val="8"/>
        </w:numPr>
        <w:spacing w:line="278" w:lineRule="auto"/>
        <w:ind w:left="10" w:right="-15"/>
        <w:jc w:val="left"/>
        <w:rPr>
          <w:rFonts w:ascii="Aptos" w:hAnsi="Aptos"/>
          <w:szCs w:val="22"/>
        </w:rPr>
      </w:pPr>
      <w:r w:rsidRPr="001B52BB">
        <w:rPr>
          <w:rFonts w:ascii="Aptos" w:hAnsi="Aptos"/>
          <w:b/>
          <w:bCs/>
          <w:szCs w:val="22"/>
        </w:rPr>
        <w:t>Category C:</w:t>
      </w:r>
      <w:r w:rsidRPr="001B52BB">
        <w:rPr>
          <w:rFonts w:ascii="Aptos" w:hAnsi="Aptos"/>
          <w:szCs w:val="22"/>
        </w:rPr>
        <w:t xml:space="preserve"> Business activities with minimal or no adverse technology risks or impacts. Beyond the application of Technology Governance Performance Standards, no further Technology Governance Assessment is required for Category C business activities. By way of example, Category C business activities include, but are not limited to: basic software applications; established technology platforms; standard data processing systems; and mature technology infrastructure with established governance frameworks.</w:t>
      </w:r>
    </w:p>
    <w:p w14:paraId="3C61800F" w14:textId="4EF4B505" w:rsidR="345453E8" w:rsidRDefault="345453E8" w:rsidP="001B52BB">
      <w:pPr>
        <w:numPr>
          <w:ilvl w:val="0"/>
          <w:numId w:val="8"/>
        </w:numPr>
        <w:spacing w:line="278" w:lineRule="auto"/>
        <w:ind w:left="10" w:right="-15"/>
        <w:jc w:val="left"/>
        <w:rPr>
          <w:rFonts w:ascii="Aptos" w:hAnsi="Aptos"/>
          <w:szCs w:val="22"/>
        </w:rPr>
      </w:pPr>
      <w:r w:rsidRPr="001B52BB">
        <w:rPr>
          <w:rFonts w:ascii="Aptos" w:hAnsi="Aptos"/>
          <w:b/>
          <w:bCs/>
          <w:szCs w:val="22"/>
        </w:rPr>
        <w:t>Category FI:</w:t>
      </w:r>
      <w:r w:rsidRPr="001B52BB">
        <w:rPr>
          <w:rFonts w:ascii="Aptos" w:hAnsi="Aptos"/>
          <w:szCs w:val="22"/>
        </w:rPr>
        <w:t xml:space="preserve"> This category applies to investments in financial intermediaries. The Investor will require financial intermediaries to establish and implement technology systems and procedures so that sub-projects are implemented in accordance with the Novel Technologies Standard.</w:t>
      </w:r>
    </w:p>
    <w:p w14:paraId="089B2D15" w14:textId="30784C9D" w:rsidR="345453E8" w:rsidRDefault="345453E8" w:rsidP="001B52BB">
      <w:pPr>
        <w:spacing w:line="278" w:lineRule="auto"/>
        <w:ind w:right="-15"/>
        <w:jc w:val="left"/>
        <w:rPr>
          <w:rFonts w:ascii="Aptos" w:hAnsi="Aptos"/>
          <w:b/>
          <w:bCs/>
          <w:szCs w:val="22"/>
        </w:rPr>
      </w:pPr>
      <w:r w:rsidRPr="001B52BB">
        <w:rPr>
          <w:rFonts w:ascii="Aptos" w:hAnsi="Aptos"/>
          <w:b/>
          <w:bCs/>
          <w:szCs w:val="22"/>
        </w:rPr>
        <w:t>E. Monitoring</w:t>
      </w:r>
    </w:p>
    <w:p w14:paraId="6C2933F7" w14:textId="1A6C367E" w:rsidR="345453E8" w:rsidRDefault="345453E8" w:rsidP="001B52BB">
      <w:pPr>
        <w:numPr>
          <w:ilvl w:val="0"/>
          <w:numId w:val="7"/>
        </w:numPr>
        <w:spacing w:line="278" w:lineRule="auto"/>
        <w:ind w:left="10" w:right="-15"/>
        <w:jc w:val="left"/>
        <w:rPr>
          <w:rFonts w:ascii="Aptos" w:hAnsi="Aptos"/>
          <w:szCs w:val="22"/>
        </w:rPr>
      </w:pPr>
      <w:r w:rsidRPr="001B52BB">
        <w:rPr>
          <w:rFonts w:ascii="Aptos" w:hAnsi="Aptos"/>
          <w:szCs w:val="22"/>
        </w:rPr>
        <w:t>The Investor will monitor clients' compliance with the Novel Technologies Standard. The extent of monitoring will be commensurate with the technology risks of the project and with the client's capacity to manage these risks and impacts. Monitoring will include: (i) review of periodic monitoring reports submitted by the client; (ii) site visits by Investor staff or independent monitoring consultants, as necessary; and (iii) consultation with locally affected communities, workers, civil society, and other stakeholders, as appropriate.</w:t>
      </w:r>
    </w:p>
    <w:p w14:paraId="36252285" w14:textId="3C62B858" w:rsidR="345453E8" w:rsidRDefault="345453E8" w:rsidP="001B52BB">
      <w:pPr>
        <w:numPr>
          <w:ilvl w:val="0"/>
          <w:numId w:val="7"/>
        </w:numPr>
        <w:spacing w:line="278" w:lineRule="auto"/>
        <w:ind w:left="10" w:right="-15"/>
        <w:jc w:val="left"/>
        <w:rPr>
          <w:rFonts w:ascii="Aptos" w:hAnsi="Aptos"/>
          <w:szCs w:val="22"/>
        </w:rPr>
      </w:pPr>
      <w:r w:rsidRPr="001B52BB">
        <w:rPr>
          <w:rFonts w:ascii="Aptos" w:hAnsi="Aptos"/>
          <w:szCs w:val="22"/>
        </w:rPr>
        <w:t>The Investor will require clients to provide periodic reports describing compliance with the Novel Technologies Standard, including the effectiveness of the technology governance system and describing any material change in purpose, scope or implementation of the project or of the component technologies. The frequency of such reports will depend on the significance of technology governance risks and impacts associated with the project, but not less than quarterly for projects with significant technology governance risks and impacts.</w:t>
      </w:r>
    </w:p>
    <w:p w14:paraId="61E6C799" w14:textId="67BE09A7" w:rsidR="345453E8" w:rsidRDefault="345453E8" w:rsidP="001B52BB">
      <w:pPr>
        <w:numPr>
          <w:ilvl w:val="0"/>
          <w:numId w:val="7"/>
        </w:numPr>
        <w:spacing w:line="278" w:lineRule="auto"/>
        <w:ind w:left="10" w:right="-15"/>
        <w:jc w:val="left"/>
        <w:rPr>
          <w:rFonts w:ascii="Aptos" w:hAnsi="Aptos"/>
          <w:szCs w:val="22"/>
        </w:rPr>
      </w:pPr>
      <w:r w:rsidRPr="001B52BB">
        <w:rPr>
          <w:rFonts w:ascii="Aptos" w:hAnsi="Aptos"/>
          <w:szCs w:val="22"/>
        </w:rPr>
        <w:t xml:space="preserve">Where monitoring or other information indicates that a project is not performing in accordance with Novel Technologies Standard, the Investor will work with the client to establish a corrective action </w:t>
      </w:r>
      <w:r w:rsidRPr="001B52BB">
        <w:rPr>
          <w:rFonts w:ascii="Aptos" w:hAnsi="Aptos"/>
          <w:szCs w:val="22"/>
        </w:rPr>
        <w:lastRenderedPageBreak/>
        <w:t>plan to bring the business activity back into compliance. If the client fails to establish a corrective action plan or to implement it effectively, or the compliance failure poses an urgent risk of material and irreversible harm to affected communities, stakeholders or the environment, including but not limited to, violations of their civil and political rights, the Investor will exercise appropriate remedies.</w:t>
      </w:r>
    </w:p>
    <w:p w14:paraId="0012B997" w14:textId="19FCD07A" w:rsidR="001B52BB" w:rsidRDefault="001B52BB" w:rsidP="001B52BB">
      <w:pPr>
        <w:spacing w:line="278" w:lineRule="auto"/>
        <w:ind w:right="-15"/>
        <w:jc w:val="left"/>
        <w:rPr>
          <w:rFonts w:ascii="Aptos" w:hAnsi="Aptos"/>
          <w:szCs w:val="22"/>
        </w:rPr>
      </w:pPr>
    </w:p>
    <w:p w14:paraId="4D2D3B0C" w14:textId="419007AD" w:rsidR="001B52BB" w:rsidRDefault="001B52BB" w:rsidP="001B52BB">
      <w:pPr>
        <w:spacing w:line="278" w:lineRule="auto"/>
        <w:ind w:right="-15"/>
        <w:jc w:val="left"/>
        <w:rPr>
          <w:rFonts w:ascii="Aptos" w:hAnsi="Aptos"/>
          <w:szCs w:val="22"/>
        </w:rPr>
      </w:pPr>
    </w:p>
    <w:p w14:paraId="12CA4311" w14:textId="77E90733" w:rsidR="345453E8" w:rsidRDefault="345453E8" w:rsidP="001B52BB">
      <w:pPr>
        <w:spacing w:line="278" w:lineRule="auto"/>
        <w:ind w:right="-15"/>
        <w:jc w:val="left"/>
        <w:rPr>
          <w:rFonts w:ascii="Aptos" w:hAnsi="Aptos"/>
          <w:b/>
          <w:bCs/>
          <w:szCs w:val="22"/>
        </w:rPr>
      </w:pPr>
      <w:r w:rsidRPr="001B52BB">
        <w:rPr>
          <w:rFonts w:ascii="Aptos" w:hAnsi="Aptos"/>
          <w:b/>
          <w:bCs/>
          <w:szCs w:val="22"/>
        </w:rPr>
        <w:t>IV. COLLABORATION WITH OTHER INSTITUTIONS</w:t>
      </w:r>
    </w:p>
    <w:p w14:paraId="1B3E835C" w14:textId="5A557F0B" w:rsidR="345453E8" w:rsidRDefault="345453E8" w:rsidP="001B52BB">
      <w:pPr>
        <w:numPr>
          <w:ilvl w:val="0"/>
          <w:numId w:val="6"/>
        </w:numPr>
        <w:spacing w:line="278" w:lineRule="auto"/>
        <w:ind w:left="10" w:right="-15"/>
        <w:jc w:val="left"/>
        <w:rPr>
          <w:rFonts w:ascii="Aptos" w:hAnsi="Aptos"/>
          <w:szCs w:val="22"/>
        </w:rPr>
      </w:pPr>
      <w:r w:rsidRPr="001B52BB">
        <w:rPr>
          <w:rFonts w:ascii="Aptos" w:hAnsi="Aptos"/>
          <w:szCs w:val="22"/>
        </w:rPr>
        <w:t>The Investor will collaborate with other institutions, including multilateral and bilateral development finance institutions, to enhance the effectiveness of technology governance safeguards, to promote good practices, and to reduce the cost of implementation.</w:t>
      </w:r>
    </w:p>
    <w:p w14:paraId="3E89202B" w14:textId="02D0386B" w:rsidR="345453E8" w:rsidRDefault="345453E8" w:rsidP="001B52BB">
      <w:pPr>
        <w:numPr>
          <w:ilvl w:val="0"/>
          <w:numId w:val="6"/>
        </w:numPr>
        <w:spacing w:line="278" w:lineRule="auto"/>
        <w:ind w:left="10" w:right="-15"/>
        <w:jc w:val="left"/>
        <w:rPr>
          <w:rFonts w:ascii="Aptos" w:hAnsi="Aptos"/>
          <w:szCs w:val="22"/>
        </w:rPr>
      </w:pPr>
      <w:r w:rsidRPr="001B52BB">
        <w:rPr>
          <w:rFonts w:ascii="Aptos" w:hAnsi="Aptos"/>
          <w:szCs w:val="22"/>
        </w:rPr>
        <w:t>Where other reputable institutions are applying technology standards substantially equivalent to Novel Technologies Standard, the Investor may rely on the assessment, management, and monitoring carried out by such institutions instead of conducting its own review, provided that the Investor determines and documents that such reliance is appropriate in the circumstances.</w:t>
      </w:r>
    </w:p>
    <w:p w14:paraId="7CA85FB4" w14:textId="5106A15C" w:rsidR="345453E8" w:rsidRDefault="345453E8" w:rsidP="001B52BB">
      <w:pPr>
        <w:numPr>
          <w:ilvl w:val="0"/>
          <w:numId w:val="6"/>
        </w:numPr>
        <w:spacing w:line="278" w:lineRule="auto"/>
        <w:ind w:left="10" w:right="-15"/>
        <w:jc w:val="left"/>
        <w:rPr>
          <w:rFonts w:ascii="Aptos" w:hAnsi="Aptos"/>
          <w:szCs w:val="22"/>
        </w:rPr>
      </w:pPr>
      <w:r w:rsidRPr="001B52BB">
        <w:rPr>
          <w:rFonts w:ascii="Aptos" w:hAnsi="Aptos"/>
          <w:szCs w:val="22"/>
        </w:rPr>
        <w:t>The Investor will seek to support the development of national and local technology assessment and management capacity in client countries and will work with other institutions to support the development and adoption of internationally recognized technology governance standards and practices.</w:t>
      </w:r>
    </w:p>
    <w:p w14:paraId="1D2CC8E4" w14:textId="1885C38D" w:rsidR="345453E8" w:rsidRDefault="345453E8" w:rsidP="001B52BB">
      <w:pPr>
        <w:numPr>
          <w:ilvl w:val="0"/>
          <w:numId w:val="6"/>
        </w:numPr>
        <w:spacing w:line="278" w:lineRule="auto"/>
        <w:ind w:left="10" w:right="-15"/>
        <w:jc w:val="left"/>
        <w:rPr>
          <w:rFonts w:ascii="Aptos" w:hAnsi="Aptos"/>
          <w:szCs w:val="22"/>
        </w:rPr>
      </w:pPr>
      <w:r w:rsidRPr="001B52BB">
        <w:rPr>
          <w:rFonts w:ascii="Aptos" w:hAnsi="Aptos"/>
          <w:szCs w:val="22"/>
        </w:rPr>
        <w:t>The Investor will participate actively in technology governance initiatives with industry and professional associations, academic institutions, civil society organizations, and international standard-setting bodies to advance the state of technology governance practice and to support the development of best practices for responsible innovation.</w:t>
      </w:r>
    </w:p>
    <w:p w14:paraId="5F8E873B" w14:textId="36932ED2" w:rsidR="001B52BB" w:rsidRDefault="001B52BB" w:rsidP="001B52BB">
      <w:pPr>
        <w:spacing w:line="278" w:lineRule="auto"/>
        <w:ind w:right="-15"/>
        <w:jc w:val="left"/>
        <w:rPr>
          <w:rFonts w:ascii="Aptos" w:hAnsi="Aptos"/>
          <w:szCs w:val="22"/>
        </w:rPr>
      </w:pPr>
    </w:p>
    <w:p w14:paraId="019129BE" w14:textId="7B9FAE09" w:rsidR="345453E8" w:rsidRDefault="345453E8" w:rsidP="001B52BB">
      <w:pPr>
        <w:spacing w:line="278" w:lineRule="auto"/>
        <w:ind w:right="-15"/>
        <w:jc w:val="left"/>
        <w:rPr>
          <w:rFonts w:ascii="Aptos" w:hAnsi="Aptos"/>
          <w:b/>
          <w:bCs/>
          <w:szCs w:val="22"/>
        </w:rPr>
      </w:pPr>
      <w:r w:rsidRPr="001B52BB">
        <w:rPr>
          <w:rFonts w:ascii="Aptos" w:hAnsi="Aptos"/>
          <w:b/>
          <w:bCs/>
          <w:szCs w:val="22"/>
        </w:rPr>
        <w:t>V. SECTOR SPECIFIC INITIATIVES ON TECHNOLOGY GOVERNANCE AND DISCLOSURE</w:t>
      </w:r>
    </w:p>
    <w:p w14:paraId="06598B31" w14:textId="6E14A51F" w:rsidR="345453E8" w:rsidRDefault="345453E8" w:rsidP="001B52BB">
      <w:pPr>
        <w:numPr>
          <w:ilvl w:val="0"/>
          <w:numId w:val="5"/>
        </w:numPr>
        <w:spacing w:line="278" w:lineRule="auto"/>
        <w:ind w:left="10" w:right="-15"/>
        <w:jc w:val="left"/>
        <w:rPr>
          <w:rFonts w:ascii="Aptos" w:hAnsi="Aptos"/>
          <w:szCs w:val="22"/>
        </w:rPr>
      </w:pPr>
      <w:r w:rsidRPr="001B52BB">
        <w:rPr>
          <w:rFonts w:ascii="Aptos" w:hAnsi="Aptos"/>
          <w:szCs w:val="22"/>
        </w:rPr>
        <w:t>The Investor recognizes that different technology sectors present unique governance challenges and opportunities. The Investor will develop sector-specific initiatives to address the technology governance aspects of key sectors including artificial intelligence, biotechnology, financial technology, climate technology, cybersecurity, and emerging technology convergence areas.</w:t>
      </w:r>
    </w:p>
    <w:p w14:paraId="1AE125E6" w14:textId="02268A16" w:rsidR="345453E8" w:rsidRDefault="345453E8" w:rsidP="001B52BB">
      <w:pPr>
        <w:numPr>
          <w:ilvl w:val="0"/>
          <w:numId w:val="5"/>
        </w:numPr>
        <w:spacing w:line="278" w:lineRule="auto"/>
        <w:ind w:left="10" w:right="-15"/>
        <w:jc w:val="left"/>
        <w:rPr>
          <w:rFonts w:ascii="Aptos" w:hAnsi="Aptos"/>
          <w:szCs w:val="22"/>
        </w:rPr>
      </w:pPr>
      <w:r w:rsidRPr="001B52BB">
        <w:rPr>
          <w:rFonts w:ascii="Aptos" w:hAnsi="Aptos"/>
          <w:szCs w:val="22"/>
        </w:rPr>
        <w:t>For artificial intelligence and machine learning investments, the Investor will promote the adoption of appropriate governance frameworks including algorithmic fairness assessments, bias detection and mitigation systems, human oversight mechanisms, and transparency measures appropriate to the application context and stakeholder needs.</w:t>
      </w:r>
    </w:p>
    <w:p w14:paraId="6254CD4B" w14:textId="63F6AD1D" w:rsidR="345453E8" w:rsidRDefault="345453E8" w:rsidP="001B52BB">
      <w:pPr>
        <w:numPr>
          <w:ilvl w:val="0"/>
          <w:numId w:val="5"/>
        </w:numPr>
        <w:spacing w:line="278" w:lineRule="auto"/>
        <w:ind w:left="10" w:right="-15"/>
        <w:jc w:val="left"/>
        <w:rPr>
          <w:rFonts w:ascii="Aptos" w:hAnsi="Aptos"/>
          <w:szCs w:val="22"/>
        </w:rPr>
      </w:pPr>
      <w:r w:rsidRPr="001B52BB">
        <w:rPr>
          <w:rFonts w:ascii="Aptos" w:hAnsi="Aptos"/>
          <w:szCs w:val="22"/>
        </w:rPr>
        <w:lastRenderedPageBreak/>
        <w:t>For biotechnology investments, the Investor will require compliance with applicable biosafety frameworks, environmental release assessments, ethical review processes for human subjects' research, and stakeholder engagement on potential ecological and health impacts.</w:t>
      </w:r>
    </w:p>
    <w:p w14:paraId="13A73026" w14:textId="612C6F31" w:rsidR="345453E8" w:rsidRDefault="345453E8" w:rsidP="001B52BB">
      <w:pPr>
        <w:numPr>
          <w:ilvl w:val="0"/>
          <w:numId w:val="5"/>
        </w:numPr>
        <w:spacing w:line="278" w:lineRule="auto"/>
        <w:ind w:left="10" w:right="-15"/>
        <w:jc w:val="left"/>
        <w:rPr>
          <w:rFonts w:ascii="Aptos" w:hAnsi="Aptos"/>
          <w:szCs w:val="22"/>
        </w:rPr>
      </w:pPr>
      <w:r w:rsidRPr="001B52BB">
        <w:rPr>
          <w:rFonts w:ascii="Aptos" w:hAnsi="Aptos"/>
          <w:szCs w:val="22"/>
        </w:rPr>
        <w:t>For financial technology investments, the Investor will promote strong data protection frameworks, cybersecurity resilience measures, consumer protection mechanisms, and compliance with applicable financial services regulations and technology governance standards.</w:t>
      </w:r>
    </w:p>
    <w:p w14:paraId="42D1E6B3" w14:textId="3546D40B" w:rsidR="345453E8" w:rsidRDefault="345453E8" w:rsidP="001B52BB">
      <w:pPr>
        <w:numPr>
          <w:ilvl w:val="0"/>
          <w:numId w:val="5"/>
        </w:numPr>
        <w:spacing w:line="278" w:lineRule="auto"/>
        <w:ind w:left="10" w:right="-15"/>
        <w:jc w:val="left"/>
        <w:rPr>
          <w:rFonts w:ascii="Aptos" w:hAnsi="Aptos"/>
          <w:szCs w:val="22"/>
        </w:rPr>
      </w:pPr>
      <w:r w:rsidRPr="001B52BB">
        <w:rPr>
          <w:rFonts w:ascii="Aptos" w:hAnsi="Aptos"/>
          <w:szCs w:val="22"/>
        </w:rPr>
        <w:t>The Investor will collaborate with industry bodies, standard-setting organizations, and regulatory authorities to support the development of sector-specific technology governance guidance and to promote the adoption of globally recognized standards and certifications where available.</w:t>
      </w:r>
    </w:p>
    <w:p w14:paraId="63A9A6CB" w14:textId="4F8A3E31" w:rsidR="001B52BB" w:rsidRDefault="001B52BB" w:rsidP="001B52BB">
      <w:pPr>
        <w:spacing w:line="278" w:lineRule="auto"/>
        <w:ind w:right="-15"/>
        <w:jc w:val="left"/>
        <w:rPr>
          <w:rFonts w:ascii="Aptos" w:hAnsi="Aptos"/>
          <w:szCs w:val="22"/>
        </w:rPr>
      </w:pPr>
    </w:p>
    <w:p w14:paraId="07465F6A" w14:textId="7A5CB12D" w:rsidR="001B52BB" w:rsidRDefault="001B52BB" w:rsidP="001B52BB">
      <w:pPr>
        <w:spacing w:line="278" w:lineRule="auto"/>
        <w:ind w:right="-15"/>
        <w:jc w:val="left"/>
        <w:rPr>
          <w:rFonts w:ascii="Aptos" w:hAnsi="Aptos"/>
          <w:szCs w:val="22"/>
        </w:rPr>
      </w:pPr>
    </w:p>
    <w:p w14:paraId="18E0192B" w14:textId="4BDB7E2B" w:rsidR="345453E8" w:rsidRDefault="345453E8" w:rsidP="001B52BB">
      <w:pPr>
        <w:spacing w:line="278" w:lineRule="auto"/>
        <w:ind w:right="-15"/>
        <w:jc w:val="left"/>
        <w:rPr>
          <w:rFonts w:ascii="Aptos" w:hAnsi="Aptos"/>
          <w:b/>
          <w:bCs/>
          <w:szCs w:val="22"/>
        </w:rPr>
      </w:pPr>
      <w:r w:rsidRPr="001B52BB">
        <w:rPr>
          <w:rFonts w:ascii="Aptos" w:hAnsi="Aptos"/>
          <w:b/>
          <w:bCs/>
          <w:szCs w:val="22"/>
        </w:rPr>
        <w:t>VI. ACCESS TO INFORMATION</w:t>
      </w:r>
    </w:p>
    <w:p w14:paraId="6726027A" w14:textId="1706043D" w:rsidR="345453E8" w:rsidRDefault="345453E8" w:rsidP="001B52BB">
      <w:pPr>
        <w:numPr>
          <w:ilvl w:val="0"/>
          <w:numId w:val="4"/>
        </w:numPr>
        <w:spacing w:line="278" w:lineRule="auto"/>
        <w:ind w:left="10" w:right="-15"/>
        <w:jc w:val="left"/>
        <w:rPr>
          <w:rFonts w:ascii="Aptos" w:hAnsi="Aptos"/>
          <w:szCs w:val="22"/>
        </w:rPr>
      </w:pPr>
      <w:r w:rsidRPr="001B52BB">
        <w:rPr>
          <w:rFonts w:ascii="Aptos" w:hAnsi="Aptos"/>
          <w:szCs w:val="22"/>
        </w:rPr>
        <w:t>The Investor commits to transparency in technology governance matters and will disclose information about the technology governance aspects of its business activities sufficient to allow stakeholders and the public assess the Investor's implementation and operation of the Novel Technology Standard.</w:t>
      </w:r>
    </w:p>
    <w:p w14:paraId="51B8F2FC" w14:textId="1F3D6AA6" w:rsidR="345453E8" w:rsidRDefault="345453E8" w:rsidP="001B52BB">
      <w:pPr>
        <w:numPr>
          <w:ilvl w:val="0"/>
          <w:numId w:val="4"/>
        </w:numPr>
        <w:spacing w:line="278" w:lineRule="auto"/>
        <w:ind w:left="10" w:right="-15"/>
        <w:jc w:val="left"/>
        <w:rPr>
          <w:rFonts w:ascii="Aptos" w:hAnsi="Aptos"/>
          <w:szCs w:val="22"/>
        </w:rPr>
      </w:pPr>
      <w:r w:rsidRPr="001B52BB">
        <w:rPr>
          <w:rFonts w:ascii="Aptos" w:hAnsi="Aptos"/>
          <w:szCs w:val="22"/>
        </w:rPr>
        <w:t>The Investor will disclose technology governance documents relating to the project. The Investor will also require clients to disclose relevant project information to affected communities and stakeholders and facilitate their informed participation in the design and implementation of the project.</w:t>
      </w:r>
    </w:p>
    <w:p w14:paraId="02829DEF" w14:textId="73591596" w:rsidR="345453E8" w:rsidRDefault="345453E8" w:rsidP="001B52BB">
      <w:pPr>
        <w:numPr>
          <w:ilvl w:val="0"/>
          <w:numId w:val="4"/>
        </w:numPr>
        <w:spacing w:line="278" w:lineRule="auto"/>
        <w:ind w:left="10" w:right="-15"/>
        <w:jc w:val="left"/>
        <w:rPr>
          <w:rFonts w:ascii="Aptos" w:hAnsi="Aptos"/>
          <w:szCs w:val="22"/>
        </w:rPr>
      </w:pPr>
      <w:r w:rsidRPr="001B52BB">
        <w:rPr>
          <w:rFonts w:ascii="Aptos" w:hAnsi="Aptos"/>
          <w:szCs w:val="22"/>
        </w:rPr>
        <w:t>For Category A business activities, including sub-projects of financial intermediaries, the Investor will make the technology impact assessment publicly available. For Category B business activities, including such sub-projects, the Investor will make publicly available the limited technology impact assessment. Any such sub-project disclosure will identify the name and domicile of such sub-project. Such disclosure will be made in a timely manner and in an accessible place and in a form and language that are understandable to affected communities and other stakeholders.</w:t>
      </w:r>
    </w:p>
    <w:p w14:paraId="4AB3B48C" w14:textId="0A5E9BF3" w:rsidR="001B52BB" w:rsidRDefault="001B52BB" w:rsidP="001B52BB">
      <w:pPr>
        <w:spacing w:line="278" w:lineRule="auto"/>
        <w:ind w:right="-15"/>
        <w:jc w:val="left"/>
        <w:rPr>
          <w:rFonts w:ascii="Aptos" w:hAnsi="Aptos"/>
          <w:szCs w:val="22"/>
        </w:rPr>
      </w:pPr>
    </w:p>
    <w:p w14:paraId="6292D980" w14:textId="62AA654A" w:rsidR="345453E8" w:rsidRDefault="345453E8" w:rsidP="001B52BB">
      <w:pPr>
        <w:spacing w:line="278" w:lineRule="auto"/>
        <w:ind w:right="-15"/>
        <w:jc w:val="left"/>
        <w:rPr>
          <w:rFonts w:ascii="Aptos" w:hAnsi="Aptos"/>
          <w:b/>
          <w:bCs/>
          <w:szCs w:val="22"/>
        </w:rPr>
      </w:pPr>
      <w:r w:rsidRPr="001B52BB">
        <w:rPr>
          <w:rFonts w:ascii="Aptos" w:hAnsi="Aptos"/>
          <w:b/>
          <w:bCs/>
          <w:szCs w:val="22"/>
        </w:rPr>
        <w:t>VII. STAKEHOLDER ENGAGEMENT</w:t>
      </w:r>
    </w:p>
    <w:p w14:paraId="401AAAB9" w14:textId="5382EEA9" w:rsidR="345453E8" w:rsidRDefault="345453E8" w:rsidP="001B52BB">
      <w:pPr>
        <w:numPr>
          <w:ilvl w:val="0"/>
          <w:numId w:val="3"/>
        </w:numPr>
        <w:spacing w:line="278" w:lineRule="auto"/>
        <w:ind w:left="10" w:right="-15"/>
        <w:jc w:val="left"/>
        <w:rPr>
          <w:rFonts w:ascii="Aptos" w:hAnsi="Aptos"/>
          <w:szCs w:val="22"/>
        </w:rPr>
      </w:pPr>
      <w:r w:rsidRPr="001B52BB">
        <w:rPr>
          <w:rFonts w:ascii="Aptos" w:hAnsi="Aptos"/>
          <w:szCs w:val="22"/>
        </w:rPr>
        <w:t>The Investor recognizes the importance of engaging with stakeholders affected by its business activities. Effective stakeholder engagement is the basis for building strong, constructive, and responsive relationships that are essential for the successful management of a business activity's technology governance risks and impacts.</w:t>
      </w:r>
    </w:p>
    <w:p w14:paraId="5A545C9A" w14:textId="21222872" w:rsidR="345453E8" w:rsidRDefault="345453E8" w:rsidP="001B52BB">
      <w:pPr>
        <w:numPr>
          <w:ilvl w:val="0"/>
          <w:numId w:val="3"/>
        </w:numPr>
        <w:spacing w:line="278" w:lineRule="auto"/>
        <w:ind w:left="10" w:right="-15"/>
        <w:jc w:val="left"/>
        <w:rPr>
          <w:rFonts w:ascii="Aptos" w:hAnsi="Aptos"/>
          <w:szCs w:val="22"/>
        </w:rPr>
      </w:pPr>
      <w:r w:rsidRPr="001B52BB">
        <w:rPr>
          <w:rFonts w:ascii="Aptos" w:hAnsi="Aptos"/>
          <w:szCs w:val="22"/>
        </w:rPr>
        <w:t>The Investor will require clients to engage with affected communities and other stakeholders throughout the business activity cycle. Such engagement will be proportionate to the business activity's technology governance risks and impacts and the concerns of affected communities.</w:t>
      </w:r>
    </w:p>
    <w:p w14:paraId="1356BF55" w14:textId="46415FD9" w:rsidR="345453E8" w:rsidRDefault="345453E8" w:rsidP="001B52BB">
      <w:pPr>
        <w:numPr>
          <w:ilvl w:val="0"/>
          <w:numId w:val="3"/>
        </w:numPr>
        <w:spacing w:line="278" w:lineRule="auto"/>
        <w:ind w:left="10" w:right="-15"/>
        <w:jc w:val="left"/>
        <w:rPr>
          <w:rFonts w:ascii="Aptos" w:hAnsi="Aptos"/>
          <w:szCs w:val="22"/>
        </w:rPr>
      </w:pPr>
      <w:r w:rsidRPr="001B52BB">
        <w:rPr>
          <w:rFonts w:ascii="Aptos" w:hAnsi="Aptos"/>
          <w:szCs w:val="22"/>
        </w:rPr>
        <w:lastRenderedPageBreak/>
        <w:t>For business activities with significant technology risks and impacts, the Investor will require clients to conduct meaningful consultation with affected stakeholders during the technology assessment process and to establish a mechanism to receive and facilitate resolution of concerns and grievances about the business activity's technology governance performance.</w:t>
      </w:r>
    </w:p>
    <w:p w14:paraId="767CA6E1" w14:textId="44EB8568" w:rsidR="001B52BB" w:rsidRDefault="001B52BB" w:rsidP="001B52BB">
      <w:pPr>
        <w:spacing w:line="278" w:lineRule="auto"/>
        <w:ind w:right="-15"/>
        <w:jc w:val="left"/>
        <w:rPr>
          <w:rFonts w:ascii="Aptos" w:hAnsi="Aptos"/>
          <w:szCs w:val="22"/>
        </w:rPr>
      </w:pPr>
    </w:p>
    <w:p w14:paraId="33C8C3A8" w14:textId="0D22BE43" w:rsidR="345453E8" w:rsidRDefault="345453E8" w:rsidP="001B52BB">
      <w:pPr>
        <w:spacing w:line="278" w:lineRule="auto"/>
        <w:ind w:right="-15"/>
        <w:jc w:val="left"/>
        <w:rPr>
          <w:rFonts w:ascii="Aptos" w:hAnsi="Aptos"/>
          <w:b/>
          <w:bCs/>
          <w:szCs w:val="22"/>
        </w:rPr>
      </w:pPr>
      <w:r w:rsidRPr="001B52BB">
        <w:rPr>
          <w:rFonts w:ascii="Aptos" w:hAnsi="Aptos"/>
          <w:b/>
          <w:bCs/>
          <w:szCs w:val="22"/>
        </w:rPr>
        <w:t>VIII. EXTERNAL COMMUNICATIONS AND GRIEVANCE MECHANISM</w:t>
      </w:r>
    </w:p>
    <w:p w14:paraId="74099C02" w14:textId="4F82A701" w:rsidR="345453E8" w:rsidRDefault="345453E8" w:rsidP="001B52BB">
      <w:pPr>
        <w:numPr>
          <w:ilvl w:val="0"/>
          <w:numId w:val="2"/>
        </w:numPr>
        <w:spacing w:line="278" w:lineRule="auto"/>
        <w:ind w:left="10" w:right="-15"/>
        <w:jc w:val="left"/>
        <w:rPr>
          <w:rFonts w:ascii="Aptos" w:hAnsi="Aptos"/>
          <w:szCs w:val="22"/>
        </w:rPr>
      </w:pPr>
      <w:r w:rsidRPr="001B52BB">
        <w:rPr>
          <w:rFonts w:ascii="Aptos" w:hAnsi="Aptos"/>
          <w:szCs w:val="22"/>
        </w:rPr>
        <w:t>The Investor will respond to concerns from affected communities and civil society organizations about the technology performance of its business activities. The Investor encourages such concerns to be brought first to the Investor's attention at the operational level for resolution.</w:t>
      </w:r>
    </w:p>
    <w:p w14:paraId="50292F4D" w14:textId="4B4EE138" w:rsidR="345453E8" w:rsidRDefault="345453E8" w:rsidP="001B52BB">
      <w:pPr>
        <w:numPr>
          <w:ilvl w:val="0"/>
          <w:numId w:val="2"/>
        </w:numPr>
        <w:spacing w:line="278" w:lineRule="auto"/>
        <w:ind w:left="10" w:right="-15"/>
        <w:jc w:val="left"/>
        <w:rPr>
          <w:rFonts w:ascii="Aptos" w:hAnsi="Aptos"/>
          <w:szCs w:val="22"/>
        </w:rPr>
      </w:pPr>
      <w:r w:rsidRPr="001B52BB">
        <w:rPr>
          <w:rFonts w:ascii="Aptos" w:hAnsi="Aptos"/>
          <w:szCs w:val="22"/>
        </w:rPr>
        <w:t>If people believe they are adversely affected by an Investor-supported business activity, and where they believe that the Investor has not implemented the requirements of this Policy adequately, they may submit a complaint to the Investor's independent accountability mechanism, or in the absence of such a mechanism, directly to the Board of Directors of the Investor. This mechanism provides an opportunity for independent investigation of the business activity and problem-solving to address the concerns of people affected by the projects.</w:t>
      </w:r>
    </w:p>
    <w:p w14:paraId="762DAD55" w14:textId="065AA527" w:rsidR="345453E8" w:rsidRDefault="345453E8" w:rsidP="001B52BB">
      <w:pPr>
        <w:numPr>
          <w:ilvl w:val="0"/>
          <w:numId w:val="2"/>
        </w:numPr>
        <w:spacing w:line="278" w:lineRule="auto"/>
        <w:ind w:left="10" w:right="-15"/>
        <w:jc w:val="left"/>
        <w:rPr>
          <w:rFonts w:ascii="Aptos" w:hAnsi="Aptos"/>
          <w:szCs w:val="22"/>
        </w:rPr>
      </w:pPr>
      <w:r w:rsidRPr="001B52BB">
        <w:rPr>
          <w:rFonts w:ascii="Aptos" w:hAnsi="Aptos"/>
          <w:szCs w:val="22"/>
        </w:rPr>
        <w:t>The Investor will establish procedures to ensure that technology governance complaints are systematically tracked, that investigation findings are documented, and that clients implement appropriate corrective measures. The Investor will report publicly on complaint resolution outcomes while respecting the confidentiality of parties where appropriate.</w:t>
      </w:r>
    </w:p>
    <w:p w14:paraId="3A918715" w14:textId="6614EB8A" w:rsidR="001B52BB" w:rsidRDefault="001B52BB" w:rsidP="001B52BB">
      <w:pPr>
        <w:spacing w:line="278" w:lineRule="auto"/>
        <w:ind w:right="-15"/>
        <w:jc w:val="left"/>
        <w:rPr>
          <w:rFonts w:ascii="Aptos" w:hAnsi="Aptos"/>
          <w:szCs w:val="22"/>
        </w:rPr>
      </w:pPr>
    </w:p>
    <w:p w14:paraId="76F85587" w14:textId="4BC51542" w:rsidR="345453E8" w:rsidRDefault="345453E8" w:rsidP="001B52BB">
      <w:pPr>
        <w:spacing w:line="278" w:lineRule="auto"/>
        <w:ind w:right="-15"/>
        <w:jc w:val="left"/>
        <w:rPr>
          <w:rFonts w:ascii="Aptos" w:hAnsi="Aptos"/>
          <w:b/>
          <w:bCs/>
          <w:szCs w:val="22"/>
        </w:rPr>
      </w:pPr>
      <w:r w:rsidRPr="001B52BB">
        <w:rPr>
          <w:rFonts w:ascii="Aptos" w:hAnsi="Aptos"/>
          <w:b/>
          <w:bCs/>
          <w:szCs w:val="22"/>
        </w:rPr>
        <w:t>IX. IMPLEMENTATION</w:t>
      </w:r>
    </w:p>
    <w:p w14:paraId="700D96B5" w14:textId="358C9A06" w:rsidR="345453E8" w:rsidRDefault="345453E8" w:rsidP="001B52BB">
      <w:pPr>
        <w:numPr>
          <w:ilvl w:val="0"/>
          <w:numId w:val="1"/>
        </w:numPr>
        <w:spacing w:line="278" w:lineRule="auto"/>
        <w:ind w:left="10" w:right="-15"/>
        <w:jc w:val="left"/>
        <w:rPr>
          <w:rFonts w:ascii="Aptos" w:hAnsi="Aptos"/>
          <w:szCs w:val="22"/>
        </w:rPr>
      </w:pPr>
      <w:r w:rsidRPr="001B52BB">
        <w:rPr>
          <w:rFonts w:ascii="Aptos" w:hAnsi="Aptos"/>
          <w:szCs w:val="22"/>
        </w:rPr>
        <w:t>This Policy will be implemented through the Investor's Novel Technology Standard Procedures, which will provide detailed guidance on the application of this Policy and the Novel Technologies Standard. The Investor will ensure that its staff and consultants have appropriate competencies to implement the requirements of this Policy and the Novel Technologies Standard effectively.</w:t>
      </w:r>
    </w:p>
    <w:p w14:paraId="726273AD" w14:textId="46D95D78" w:rsidR="345453E8" w:rsidRDefault="345453E8" w:rsidP="001B52BB">
      <w:pPr>
        <w:numPr>
          <w:ilvl w:val="0"/>
          <w:numId w:val="1"/>
        </w:numPr>
        <w:spacing w:line="278" w:lineRule="auto"/>
        <w:ind w:left="10" w:right="-15"/>
        <w:jc w:val="left"/>
        <w:rPr>
          <w:rFonts w:ascii="Aptos" w:hAnsi="Aptos"/>
          <w:szCs w:val="22"/>
        </w:rPr>
      </w:pPr>
      <w:r w:rsidRPr="001B52BB">
        <w:rPr>
          <w:rFonts w:ascii="Aptos" w:hAnsi="Aptos"/>
          <w:szCs w:val="22"/>
        </w:rPr>
        <w:t>The Investor will provide training for its staff on technology governance and risk assessment matters, and will ensure that technology governance and impact specialists are involved in the review of projects with potentially material technology risks and impacts.</w:t>
      </w:r>
    </w:p>
    <w:p w14:paraId="0FA367F5" w14:textId="58BBAD75" w:rsidR="345453E8" w:rsidRDefault="345453E8" w:rsidP="001B52BB">
      <w:pPr>
        <w:numPr>
          <w:ilvl w:val="0"/>
          <w:numId w:val="1"/>
        </w:numPr>
        <w:spacing w:line="278" w:lineRule="auto"/>
        <w:ind w:left="10" w:right="-15"/>
        <w:jc w:val="left"/>
        <w:rPr>
          <w:rFonts w:ascii="Aptos" w:hAnsi="Aptos"/>
          <w:szCs w:val="22"/>
        </w:rPr>
      </w:pPr>
      <w:r w:rsidRPr="001B52BB">
        <w:rPr>
          <w:rFonts w:ascii="Aptos" w:hAnsi="Aptos"/>
          <w:szCs w:val="22"/>
        </w:rPr>
        <w:t>This Policy will be reviewed periodically to ensure that it reflects current best practices in technology governance and risk assessment and addresses emerging technology challenges. Such reviews will include consultation with experts and stakeholders and will incorporate lessons learned from implementation experience.</w:t>
      </w:r>
    </w:p>
    <w:p w14:paraId="07C25C50" w14:textId="65D581AB" w:rsidR="345453E8" w:rsidRDefault="345453E8" w:rsidP="001B52BB">
      <w:pPr>
        <w:numPr>
          <w:ilvl w:val="0"/>
          <w:numId w:val="1"/>
        </w:numPr>
        <w:spacing w:line="278" w:lineRule="auto"/>
        <w:ind w:left="10" w:right="-15"/>
        <w:jc w:val="left"/>
        <w:rPr>
          <w:rFonts w:ascii="Aptos" w:hAnsi="Aptos"/>
          <w:szCs w:val="22"/>
        </w:rPr>
      </w:pPr>
      <w:r w:rsidRPr="001B52BB">
        <w:rPr>
          <w:rFonts w:ascii="Aptos" w:hAnsi="Aptos"/>
          <w:szCs w:val="22"/>
        </w:rPr>
        <w:t>This Policy becomes effective on [Date] and applies to all business activities for which the initial commitment review occurs after the effective date. For existing business activities, the Investor will work with clients to enhance technology governance and risk assessment practices where appropriate.</w:t>
      </w:r>
    </w:p>
    <w:p w14:paraId="5378F949" w14:textId="661E9B74" w:rsidR="345453E8" w:rsidRDefault="345453E8" w:rsidP="001B52BB">
      <w:pPr>
        <w:numPr>
          <w:ilvl w:val="0"/>
          <w:numId w:val="1"/>
        </w:numPr>
        <w:spacing w:line="278" w:lineRule="auto"/>
        <w:ind w:left="10" w:right="-15"/>
        <w:jc w:val="left"/>
        <w:rPr>
          <w:rFonts w:ascii="Aptos" w:hAnsi="Aptos"/>
          <w:szCs w:val="22"/>
        </w:rPr>
      </w:pPr>
      <w:r w:rsidRPr="001B52BB">
        <w:rPr>
          <w:rFonts w:ascii="Aptos" w:hAnsi="Aptos"/>
          <w:szCs w:val="22"/>
        </w:rPr>
        <w:lastRenderedPageBreak/>
        <w:t>The Investor commits to reporting annually on the implementation of this Policy, including statistical information on the categorization of business activities, the application of Performance Standards, and outcomes of technology governance initiatives.</w:t>
      </w:r>
    </w:p>
    <w:p w14:paraId="046EE7A8" w14:textId="224B2825" w:rsidR="001B52BB" w:rsidRDefault="001B52BB" w:rsidP="001B52BB">
      <w:pPr>
        <w:spacing w:line="278" w:lineRule="auto"/>
        <w:ind w:left="0" w:right="-15" w:firstLine="0"/>
        <w:jc w:val="left"/>
        <w:rPr>
          <w:rFonts w:asciiTheme="minorHAnsi" w:hAnsiTheme="minorHAnsi"/>
        </w:rPr>
      </w:pPr>
    </w:p>
    <w:p w14:paraId="6BEBB9A6" w14:textId="77777777" w:rsidR="00C70A9A" w:rsidRDefault="003A3A9C">
      <w:pPr>
        <w:spacing w:after="330" w:line="259" w:lineRule="auto"/>
        <w:ind w:left="0" w:firstLine="0"/>
        <w:jc w:val="left"/>
      </w:pPr>
      <w:r>
        <w:rPr>
          <w:noProof/>
        </w:rPr>
        <mc:AlternateContent>
          <mc:Choice Requires="wpg">
            <w:drawing>
              <wp:inline distT="0" distB="0" distL="0" distR="0" wp14:anchorId="16CE42D9" wp14:editId="01E737B5">
                <wp:extent cx="4114800" cy="9525"/>
                <wp:effectExtent l="0" t="0" r="0" b="0"/>
                <wp:docPr id="9816" name="Group 9816"/>
                <wp:cNvGraphicFramePr/>
                <a:graphic xmlns:a="http://schemas.openxmlformats.org/drawingml/2006/main">
                  <a:graphicData uri="http://schemas.microsoft.com/office/word/2010/wordprocessingGroup">
                    <wpg:wgp>
                      <wpg:cNvGrpSpPr/>
                      <wpg:grpSpPr>
                        <a:xfrm>
                          <a:off x="0" y="0"/>
                          <a:ext cx="4114800" cy="9525"/>
                          <a:chOff x="0" y="0"/>
                          <a:chExt cx="4114800" cy="9525"/>
                        </a:xfrm>
                      </wpg:grpSpPr>
                      <wps:wsp>
                        <wps:cNvPr id="11251" name="Shape 11251"/>
                        <wps:cNvSpPr/>
                        <wps:spPr>
                          <a:xfrm>
                            <a:off x="0" y="0"/>
                            <a:ext cx="4114800" cy="9525"/>
                          </a:xfrm>
                          <a:custGeom>
                            <a:avLst/>
                            <a:gdLst/>
                            <a:ahLst/>
                            <a:cxnLst/>
                            <a:rect l="0" t="0" r="0" b="0"/>
                            <a:pathLst>
                              <a:path w="4114800" h="9525">
                                <a:moveTo>
                                  <a:pt x="0" y="0"/>
                                </a:moveTo>
                                <a:lnTo>
                                  <a:pt x="4114800" y="0"/>
                                </a:lnTo>
                                <a:lnTo>
                                  <a:pt x="4114800" y="9525"/>
                                </a:lnTo>
                                <a:lnTo>
                                  <a:pt x="0" y="952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a="http://schemas.openxmlformats.org/drawingml/2006/main">
            <w:pict w14:anchorId="36D42CFC">
              <v:group id="Group 9816" style="width:324pt;height:0.75pt;mso-position-horizontal-relative:char;mso-position-vertical-relative:line" coordsize="41148,95">
                <v:shape id="Shape 11252" style="position:absolute;width:41148;height:95;left:0;top:0;" coordsize="4114800,9525" path="m0,0l4114800,0l4114800,9525l0,9525l0,0">
                  <v:stroke on="false" weight="0pt" color="#000000" opacity="0" miterlimit="10" joinstyle="miter" endcap="flat"/>
                  <v:fill on="true" color="#cccccc"/>
                </v:shape>
              </v:group>
            </w:pict>
          </mc:Fallback>
        </mc:AlternateContent>
      </w:r>
    </w:p>
    <w:p w14:paraId="4D3E120F" w14:textId="77777777" w:rsidR="00C70A9A" w:rsidRDefault="003A3A9C">
      <w:pPr>
        <w:spacing w:after="158" w:line="229" w:lineRule="auto"/>
        <w:jc w:val="center"/>
      </w:pPr>
      <w:r>
        <w:rPr>
          <w:sz w:val="20"/>
        </w:rPr>
        <w:t>This Policy reflects the Investor's commitment to responsible stewardship and technology governance as an integral component of sustainable development and risk management.</w:t>
      </w:r>
    </w:p>
    <w:p w14:paraId="6147B3EC" w14:textId="77777777" w:rsidR="00C70A9A" w:rsidRDefault="003A3A9C">
      <w:pPr>
        <w:spacing w:after="158" w:line="229" w:lineRule="auto"/>
        <w:jc w:val="center"/>
      </w:pPr>
      <w:r>
        <w:rPr>
          <w:b/>
          <w:sz w:val="20"/>
        </w:rPr>
        <w:t>Effective Date:</w:t>
      </w:r>
      <w:r>
        <w:rPr>
          <w:sz w:val="20"/>
        </w:rPr>
        <w:t xml:space="preserve"> [Date] | </w:t>
      </w:r>
      <w:r>
        <w:rPr>
          <w:b/>
          <w:sz w:val="20"/>
        </w:rPr>
        <w:t>Next Review:</w:t>
      </w:r>
      <w:r>
        <w:rPr>
          <w:sz w:val="20"/>
        </w:rPr>
        <w:t xml:space="preserve"> [Date + 3 years]</w:t>
      </w:r>
    </w:p>
    <w:sectPr w:rsidR="00C70A9A" w:rsidSect="00980DC5">
      <w:headerReference w:type="default" r:id="rId10"/>
      <w:footerReference w:type="default" r:id="rId11"/>
      <w:pgSz w:w="12240" w:h="15840"/>
      <w:pgMar w:top="1440" w:right="1440" w:bottom="117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15AF" w14:textId="77777777" w:rsidR="00667C7F" w:rsidRDefault="00667C7F" w:rsidP="0085712B">
      <w:pPr>
        <w:spacing w:after="0" w:line="240" w:lineRule="auto"/>
      </w:pPr>
      <w:r>
        <w:separator/>
      </w:r>
    </w:p>
  </w:endnote>
  <w:endnote w:type="continuationSeparator" w:id="0">
    <w:p w14:paraId="0FF77B90" w14:textId="77777777" w:rsidR="00667C7F" w:rsidRDefault="00667C7F" w:rsidP="0085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271943" w14:paraId="6648FE92" w14:textId="77777777" w:rsidTr="71271943">
      <w:trPr>
        <w:trHeight w:val="300"/>
      </w:trPr>
      <w:tc>
        <w:tcPr>
          <w:tcW w:w="3120" w:type="dxa"/>
        </w:tcPr>
        <w:p w14:paraId="4140A44F" w14:textId="63124C18" w:rsidR="71271943" w:rsidRDefault="71271943" w:rsidP="71271943">
          <w:pPr>
            <w:pStyle w:val="Header"/>
            <w:ind w:left="-115"/>
            <w:jc w:val="left"/>
          </w:pPr>
        </w:p>
      </w:tc>
      <w:tc>
        <w:tcPr>
          <w:tcW w:w="3120" w:type="dxa"/>
        </w:tcPr>
        <w:p w14:paraId="5ADBFE84" w14:textId="5A5C5BF7" w:rsidR="71271943" w:rsidRDefault="71271943" w:rsidP="71271943">
          <w:pPr>
            <w:pStyle w:val="Header"/>
            <w:jc w:val="center"/>
          </w:pPr>
        </w:p>
      </w:tc>
      <w:tc>
        <w:tcPr>
          <w:tcW w:w="3120" w:type="dxa"/>
        </w:tcPr>
        <w:p w14:paraId="564623B5" w14:textId="0E11151D" w:rsidR="71271943" w:rsidRDefault="71271943" w:rsidP="71271943">
          <w:pPr>
            <w:pStyle w:val="Header"/>
            <w:ind w:right="-115"/>
            <w:jc w:val="right"/>
          </w:pPr>
        </w:p>
      </w:tc>
    </w:tr>
  </w:tbl>
  <w:p w14:paraId="579AE6E3" w14:textId="5FE71040" w:rsidR="71271943" w:rsidRDefault="71271943" w:rsidP="71271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B404" w14:textId="77777777" w:rsidR="00667C7F" w:rsidRDefault="00667C7F" w:rsidP="0085712B">
      <w:pPr>
        <w:spacing w:after="0" w:line="240" w:lineRule="auto"/>
      </w:pPr>
      <w:r>
        <w:separator/>
      </w:r>
    </w:p>
  </w:footnote>
  <w:footnote w:type="continuationSeparator" w:id="0">
    <w:p w14:paraId="0B533ECD" w14:textId="77777777" w:rsidR="00667C7F" w:rsidRDefault="00667C7F" w:rsidP="00857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86E9" w14:textId="0EFDCB80" w:rsidR="0085712B" w:rsidRPr="0085712B" w:rsidRDefault="001B52BB" w:rsidP="001B52BB">
    <w:pPr>
      <w:pStyle w:val="Header"/>
      <w:ind w:left="0" w:firstLine="0"/>
      <w:rPr>
        <w:rFonts w:asciiTheme="minorHAnsi" w:eastAsiaTheme="minorEastAsia" w:hAnsiTheme="minorHAnsi" w:cstheme="minorBidi"/>
      </w:rPr>
    </w:pPr>
    <w:r w:rsidRPr="001B52BB">
      <w:rPr>
        <w:rFonts w:asciiTheme="minorHAnsi" w:eastAsiaTheme="minorEastAsia" w:hAnsiTheme="minorHAnsi" w:cstheme="minorBidi"/>
      </w:rPr>
      <w:t>Valoris Stewardship Catalysts LLC — Draft for Discussion Purposes Only</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2F16"/>
    <w:multiLevelType w:val="hybridMultilevel"/>
    <w:tmpl w:val="D6840C46"/>
    <w:lvl w:ilvl="0" w:tplc="24DEBDCA">
      <w:start w:val="10"/>
      <w:numFmt w:val="decimal"/>
      <w:lvlText w:val="%1."/>
      <w:lvlJc w:val="left"/>
      <w:pPr>
        <w:ind w:left="720" w:hanging="360"/>
      </w:pPr>
    </w:lvl>
    <w:lvl w:ilvl="1" w:tplc="8CECC9A2">
      <w:start w:val="1"/>
      <w:numFmt w:val="lowerLetter"/>
      <w:lvlText w:val="%2."/>
      <w:lvlJc w:val="left"/>
      <w:pPr>
        <w:ind w:left="1440" w:hanging="360"/>
      </w:pPr>
    </w:lvl>
    <w:lvl w:ilvl="2" w:tplc="073C03E6">
      <w:start w:val="1"/>
      <w:numFmt w:val="lowerRoman"/>
      <w:lvlText w:val="%3."/>
      <w:lvlJc w:val="right"/>
      <w:pPr>
        <w:ind w:left="2160" w:hanging="180"/>
      </w:pPr>
    </w:lvl>
    <w:lvl w:ilvl="3" w:tplc="F1305414">
      <w:start w:val="1"/>
      <w:numFmt w:val="decimal"/>
      <w:lvlText w:val="%4."/>
      <w:lvlJc w:val="left"/>
      <w:pPr>
        <w:ind w:left="2880" w:hanging="360"/>
      </w:pPr>
    </w:lvl>
    <w:lvl w:ilvl="4" w:tplc="092E6666">
      <w:start w:val="1"/>
      <w:numFmt w:val="lowerLetter"/>
      <w:lvlText w:val="%5."/>
      <w:lvlJc w:val="left"/>
      <w:pPr>
        <w:ind w:left="3600" w:hanging="360"/>
      </w:pPr>
    </w:lvl>
    <w:lvl w:ilvl="5" w:tplc="C29678FC">
      <w:start w:val="1"/>
      <w:numFmt w:val="lowerRoman"/>
      <w:lvlText w:val="%6."/>
      <w:lvlJc w:val="right"/>
      <w:pPr>
        <w:ind w:left="4320" w:hanging="180"/>
      </w:pPr>
    </w:lvl>
    <w:lvl w:ilvl="6" w:tplc="B956BE30">
      <w:start w:val="1"/>
      <w:numFmt w:val="decimal"/>
      <w:lvlText w:val="%7."/>
      <w:lvlJc w:val="left"/>
      <w:pPr>
        <w:ind w:left="5040" w:hanging="360"/>
      </w:pPr>
    </w:lvl>
    <w:lvl w:ilvl="7" w:tplc="E3B8C4AE">
      <w:start w:val="1"/>
      <w:numFmt w:val="lowerLetter"/>
      <w:lvlText w:val="%8."/>
      <w:lvlJc w:val="left"/>
      <w:pPr>
        <w:ind w:left="5760" w:hanging="360"/>
      </w:pPr>
    </w:lvl>
    <w:lvl w:ilvl="8" w:tplc="033C8966">
      <w:start w:val="1"/>
      <w:numFmt w:val="lowerRoman"/>
      <w:lvlText w:val="%9."/>
      <w:lvlJc w:val="right"/>
      <w:pPr>
        <w:ind w:left="6480" w:hanging="180"/>
      </w:pPr>
    </w:lvl>
  </w:abstractNum>
  <w:abstractNum w:abstractNumId="1" w15:restartNumberingAfterBreak="0">
    <w:nsid w:val="044FE1D7"/>
    <w:multiLevelType w:val="hybridMultilevel"/>
    <w:tmpl w:val="976A4076"/>
    <w:lvl w:ilvl="0" w:tplc="60D07394">
      <w:start w:val="31"/>
      <w:numFmt w:val="decimal"/>
      <w:lvlText w:val="%1."/>
      <w:lvlJc w:val="left"/>
      <w:pPr>
        <w:ind w:left="720" w:hanging="360"/>
      </w:pPr>
    </w:lvl>
    <w:lvl w:ilvl="1" w:tplc="76E006D2">
      <w:start w:val="1"/>
      <w:numFmt w:val="lowerLetter"/>
      <w:lvlText w:val="%2."/>
      <w:lvlJc w:val="left"/>
      <w:pPr>
        <w:ind w:left="1440" w:hanging="360"/>
      </w:pPr>
    </w:lvl>
    <w:lvl w:ilvl="2" w:tplc="09A08414">
      <w:start w:val="1"/>
      <w:numFmt w:val="lowerRoman"/>
      <w:lvlText w:val="%3."/>
      <w:lvlJc w:val="right"/>
      <w:pPr>
        <w:ind w:left="2160" w:hanging="180"/>
      </w:pPr>
    </w:lvl>
    <w:lvl w:ilvl="3" w:tplc="6DB42532">
      <w:start w:val="1"/>
      <w:numFmt w:val="decimal"/>
      <w:lvlText w:val="%4."/>
      <w:lvlJc w:val="left"/>
      <w:pPr>
        <w:ind w:left="2880" w:hanging="360"/>
      </w:pPr>
    </w:lvl>
    <w:lvl w:ilvl="4" w:tplc="7B4A4A06">
      <w:start w:val="1"/>
      <w:numFmt w:val="lowerLetter"/>
      <w:lvlText w:val="%5."/>
      <w:lvlJc w:val="left"/>
      <w:pPr>
        <w:ind w:left="3600" w:hanging="360"/>
      </w:pPr>
    </w:lvl>
    <w:lvl w:ilvl="5" w:tplc="2850DDB0">
      <w:start w:val="1"/>
      <w:numFmt w:val="lowerRoman"/>
      <w:lvlText w:val="%6."/>
      <w:lvlJc w:val="right"/>
      <w:pPr>
        <w:ind w:left="4320" w:hanging="180"/>
      </w:pPr>
    </w:lvl>
    <w:lvl w:ilvl="6" w:tplc="4718C7C0">
      <w:start w:val="1"/>
      <w:numFmt w:val="decimal"/>
      <w:lvlText w:val="%7."/>
      <w:lvlJc w:val="left"/>
      <w:pPr>
        <w:ind w:left="5040" w:hanging="360"/>
      </w:pPr>
    </w:lvl>
    <w:lvl w:ilvl="7" w:tplc="A0E05792">
      <w:start w:val="1"/>
      <w:numFmt w:val="lowerLetter"/>
      <w:lvlText w:val="%8."/>
      <w:lvlJc w:val="left"/>
      <w:pPr>
        <w:ind w:left="5760" w:hanging="360"/>
      </w:pPr>
    </w:lvl>
    <w:lvl w:ilvl="8" w:tplc="0464EDE8">
      <w:start w:val="1"/>
      <w:numFmt w:val="lowerRoman"/>
      <w:lvlText w:val="%9."/>
      <w:lvlJc w:val="right"/>
      <w:pPr>
        <w:ind w:left="6480" w:hanging="180"/>
      </w:pPr>
    </w:lvl>
  </w:abstractNum>
  <w:abstractNum w:abstractNumId="2" w15:restartNumberingAfterBreak="0">
    <w:nsid w:val="0C152C5B"/>
    <w:multiLevelType w:val="hybridMultilevel"/>
    <w:tmpl w:val="B62C6F42"/>
    <w:lvl w:ilvl="0" w:tplc="DB20FE1C">
      <w:start w:val="36"/>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0CB0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9052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6223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44A4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347A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242C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6631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BAD9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19348F"/>
    <w:multiLevelType w:val="hybridMultilevel"/>
    <w:tmpl w:val="FF4A7328"/>
    <w:lvl w:ilvl="0" w:tplc="20F261F2">
      <w:start w:val="9"/>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8EBC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BE4B7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10B6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209D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B468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D401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3EDB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B6CE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B4BF0F"/>
    <w:multiLevelType w:val="hybridMultilevel"/>
    <w:tmpl w:val="41C80D60"/>
    <w:lvl w:ilvl="0" w:tplc="7F8A6D20">
      <w:start w:val="24"/>
      <w:numFmt w:val="decimal"/>
      <w:lvlText w:val="%1."/>
      <w:lvlJc w:val="left"/>
      <w:pPr>
        <w:ind w:left="720" w:hanging="360"/>
      </w:pPr>
    </w:lvl>
    <w:lvl w:ilvl="1" w:tplc="D954E68E">
      <w:start w:val="1"/>
      <w:numFmt w:val="lowerLetter"/>
      <w:lvlText w:val="%2."/>
      <w:lvlJc w:val="left"/>
      <w:pPr>
        <w:ind w:left="1440" w:hanging="360"/>
      </w:pPr>
    </w:lvl>
    <w:lvl w:ilvl="2" w:tplc="519E88A8">
      <w:start w:val="1"/>
      <w:numFmt w:val="lowerRoman"/>
      <w:lvlText w:val="%3."/>
      <w:lvlJc w:val="right"/>
      <w:pPr>
        <w:ind w:left="2160" w:hanging="180"/>
      </w:pPr>
    </w:lvl>
    <w:lvl w:ilvl="3" w:tplc="15388788">
      <w:start w:val="1"/>
      <w:numFmt w:val="decimal"/>
      <w:lvlText w:val="%4."/>
      <w:lvlJc w:val="left"/>
      <w:pPr>
        <w:ind w:left="2880" w:hanging="360"/>
      </w:pPr>
    </w:lvl>
    <w:lvl w:ilvl="4" w:tplc="0EE026DE">
      <w:start w:val="1"/>
      <w:numFmt w:val="lowerLetter"/>
      <w:lvlText w:val="%5."/>
      <w:lvlJc w:val="left"/>
      <w:pPr>
        <w:ind w:left="3600" w:hanging="360"/>
      </w:pPr>
    </w:lvl>
    <w:lvl w:ilvl="5" w:tplc="73642B92">
      <w:start w:val="1"/>
      <w:numFmt w:val="lowerRoman"/>
      <w:lvlText w:val="%6."/>
      <w:lvlJc w:val="right"/>
      <w:pPr>
        <w:ind w:left="4320" w:hanging="180"/>
      </w:pPr>
    </w:lvl>
    <w:lvl w:ilvl="6" w:tplc="E6448222">
      <w:start w:val="1"/>
      <w:numFmt w:val="decimal"/>
      <w:lvlText w:val="%7."/>
      <w:lvlJc w:val="left"/>
      <w:pPr>
        <w:ind w:left="5040" w:hanging="360"/>
      </w:pPr>
    </w:lvl>
    <w:lvl w:ilvl="7" w:tplc="BC6AE62C">
      <w:start w:val="1"/>
      <w:numFmt w:val="lowerLetter"/>
      <w:lvlText w:val="%8."/>
      <w:lvlJc w:val="left"/>
      <w:pPr>
        <w:ind w:left="5760" w:hanging="360"/>
      </w:pPr>
    </w:lvl>
    <w:lvl w:ilvl="8" w:tplc="B0BA732E">
      <w:start w:val="1"/>
      <w:numFmt w:val="lowerRoman"/>
      <w:lvlText w:val="%9."/>
      <w:lvlJc w:val="right"/>
      <w:pPr>
        <w:ind w:left="6480" w:hanging="180"/>
      </w:pPr>
    </w:lvl>
  </w:abstractNum>
  <w:abstractNum w:abstractNumId="5" w15:restartNumberingAfterBreak="0">
    <w:nsid w:val="2958087D"/>
    <w:multiLevelType w:val="hybridMultilevel"/>
    <w:tmpl w:val="0630DE44"/>
    <w:lvl w:ilvl="0" w:tplc="618EDA98">
      <w:start w:val="5"/>
      <w:numFmt w:val="decimal"/>
      <w:lvlText w:val="%1."/>
      <w:lvlJc w:val="left"/>
      <w:pPr>
        <w:ind w:left="720" w:hanging="360"/>
      </w:pPr>
    </w:lvl>
    <w:lvl w:ilvl="1" w:tplc="7D082A36">
      <w:start w:val="1"/>
      <w:numFmt w:val="lowerLetter"/>
      <w:lvlText w:val="%2."/>
      <w:lvlJc w:val="left"/>
      <w:pPr>
        <w:ind w:left="1440" w:hanging="360"/>
      </w:pPr>
    </w:lvl>
    <w:lvl w:ilvl="2" w:tplc="DE980AFE">
      <w:start w:val="1"/>
      <w:numFmt w:val="lowerRoman"/>
      <w:lvlText w:val="%3."/>
      <w:lvlJc w:val="right"/>
      <w:pPr>
        <w:ind w:left="2160" w:hanging="180"/>
      </w:pPr>
    </w:lvl>
    <w:lvl w:ilvl="3" w:tplc="FC1457E2">
      <w:start w:val="1"/>
      <w:numFmt w:val="decimal"/>
      <w:lvlText w:val="%4."/>
      <w:lvlJc w:val="left"/>
      <w:pPr>
        <w:ind w:left="2880" w:hanging="360"/>
      </w:pPr>
    </w:lvl>
    <w:lvl w:ilvl="4" w:tplc="D6D67E52">
      <w:start w:val="1"/>
      <w:numFmt w:val="lowerLetter"/>
      <w:lvlText w:val="%5."/>
      <w:lvlJc w:val="left"/>
      <w:pPr>
        <w:ind w:left="3600" w:hanging="360"/>
      </w:pPr>
    </w:lvl>
    <w:lvl w:ilvl="5" w:tplc="8D1CF2C8">
      <w:start w:val="1"/>
      <w:numFmt w:val="lowerRoman"/>
      <w:lvlText w:val="%6."/>
      <w:lvlJc w:val="right"/>
      <w:pPr>
        <w:ind w:left="4320" w:hanging="180"/>
      </w:pPr>
    </w:lvl>
    <w:lvl w:ilvl="6" w:tplc="6D9A0AF2">
      <w:start w:val="1"/>
      <w:numFmt w:val="decimal"/>
      <w:lvlText w:val="%7."/>
      <w:lvlJc w:val="left"/>
      <w:pPr>
        <w:ind w:left="5040" w:hanging="360"/>
      </w:pPr>
    </w:lvl>
    <w:lvl w:ilvl="7" w:tplc="4E601ADA">
      <w:start w:val="1"/>
      <w:numFmt w:val="lowerLetter"/>
      <w:lvlText w:val="%8."/>
      <w:lvlJc w:val="left"/>
      <w:pPr>
        <w:ind w:left="5760" w:hanging="360"/>
      </w:pPr>
    </w:lvl>
    <w:lvl w:ilvl="8" w:tplc="6554A550">
      <w:start w:val="1"/>
      <w:numFmt w:val="lowerRoman"/>
      <w:lvlText w:val="%9."/>
      <w:lvlJc w:val="right"/>
      <w:pPr>
        <w:ind w:left="6480" w:hanging="180"/>
      </w:pPr>
    </w:lvl>
  </w:abstractNum>
  <w:abstractNum w:abstractNumId="6" w15:restartNumberingAfterBreak="0">
    <w:nsid w:val="32983AE0"/>
    <w:multiLevelType w:val="hybridMultilevel"/>
    <w:tmpl w:val="CB703078"/>
    <w:lvl w:ilvl="0" w:tplc="BE2AEDEE">
      <w:start w:val="18"/>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68BD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2A3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F279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C417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980C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7EBD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E82D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84E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162202"/>
    <w:multiLevelType w:val="hybridMultilevel"/>
    <w:tmpl w:val="A9D2538C"/>
    <w:lvl w:ilvl="0" w:tplc="9AAAEDB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7C9D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444F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BCD0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3622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10716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6651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C23F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F27D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E8114B"/>
    <w:multiLevelType w:val="hybridMultilevel"/>
    <w:tmpl w:val="BBD8CF74"/>
    <w:lvl w:ilvl="0" w:tplc="54BAEA6A">
      <w:start w:val="42"/>
      <w:numFmt w:val="decimal"/>
      <w:lvlText w:val="%1."/>
      <w:lvlJc w:val="left"/>
      <w:pPr>
        <w:ind w:left="720" w:hanging="360"/>
      </w:pPr>
    </w:lvl>
    <w:lvl w:ilvl="1" w:tplc="65DC0F9E">
      <w:start w:val="1"/>
      <w:numFmt w:val="lowerLetter"/>
      <w:lvlText w:val="%2."/>
      <w:lvlJc w:val="left"/>
      <w:pPr>
        <w:ind w:left="1440" w:hanging="360"/>
      </w:pPr>
    </w:lvl>
    <w:lvl w:ilvl="2" w:tplc="8EBC5126">
      <w:start w:val="1"/>
      <w:numFmt w:val="lowerRoman"/>
      <w:lvlText w:val="%3."/>
      <w:lvlJc w:val="right"/>
      <w:pPr>
        <w:ind w:left="2160" w:hanging="180"/>
      </w:pPr>
    </w:lvl>
    <w:lvl w:ilvl="3" w:tplc="A3B255E2">
      <w:start w:val="1"/>
      <w:numFmt w:val="decimal"/>
      <w:lvlText w:val="%4."/>
      <w:lvlJc w:val="left"/>
      <w:pPr>
        <w:ind w:left="2880" w:hanging="360"/>
      </w:pPr>
    </w:lvl>
    <w:lvl w:ilvl="4" w:tplc="19785AE0">
      <w:start w:val="1"/>
      <w:numFmt w:val="lowerLetter"/>
      <w:lvlText w:val="%5."/>
      <w:lvlJc w:val="left"/>
      <w:pPr>
        <w:ind w:left="3600" w:hanging="360"/>
      </w:pPr>
    </w:lvl>
    <w:lvl w:ilvl="5" w:tplc="B038CE5E">
      <w:start w:val="1"/>
      <w:numFmt w:val="lowerRoman"/>
      <w:lvlText w:val="%6."/>
      <w:lvlJc w:val="right"/>
      <w:pPr>
        <w:ind w:left="4320" w:hanging="180"/>
      </w:pPr>
    </w:lvl>
    <w:lvl w:ilvl="6" w:tplc="8E780AD4">
      <w:start w:val="1"/>
      <w:numFmt w:val="decimal"/>
      <w:lvlText w:val="%7."/>
      <w:lvlJc w:val="left"/>
      <w:pPr>
        <w:ind w:left="5040" w:hanging="360"/>
      </w:pPr>
    </w:lvl>
    <w:lvl w:ilvl="7" w:tplc="D5EC49C6">
      <w:start w:val="1"/>
      <w:numFmt w:val="lowerLetter"/>
      <w:lvlText w:val="%8."/>
      <w:lvlJc w:val="left"/>
      <w:pPr>
        <w:ind w:left="5760" w:hanging="360"/>
      </w:pPr>
    </w:lvl>
    <w:lvl w:ilvl="8" w:tplc="A9663878">
      <w:start w:val="1"/>
      <w:numFmt w:val="lowerRoman"/>
      <w:lvlText w:val="%9."/>
      <w:lvlJc w:val="right"/>
      <w:pPr>
        <w:ind w:left="6480" w:hanging="180"/>
      </w:pPr>
    </w:lvl>
  </w:abstractNum>
  <w:abstractNum w:abstractNumId="9" w15:restartNumberingAfterBreak="0">
    <w:nsid w:val="3D313DB2"/>
    <w:multiLevelType w:val="hybridMultilevel"/>
    <w:tmpl w:val="3A288756"/>
    <w:lvl w:ilvl="0" w:tplc="69A6A3C6">
      <w:start w:val="39"/>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AA0A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D8B2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BC3B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B40B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5422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9E00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304D5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348A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38F0DB"/>
    <w:multiLevelType w:val="hybridMultilevel"/>
    <w:tmpl w:val="4F6A0710"/>
    <w:lvl w:ilvl="0" w:tplc="5394AA38">
      <w:start w:val="36"/>
      <w:numFmt w:val="decimal"/>
      <w:lvlText w:val="%1."/>
      <w:lvlJc w:val="left"/>
      <w:pPr>
        <w:ind w:left="720" w:hanging="360"/>
      </w:pPr>
    </w:lvl>
    <w:lvl w:ilvl="1" w:tplc="B412C72E">
      <w:start w:val="1"/>
      <w:numFmt w:val="lowerLetter"/>
      <w:lvlText w:val="%2."/>
      <w:lvlJc w:val="left"/>
      <w:pPr>
        <w:ind w:left="1440" w:hanging="360"/>
      </w:pPr>
    </w:lvl>
    <w:lvl w:ilvl="2" w:tplc="DFFECFD6">
      <w:start w:val="1"/>
      <w:numFmt w:val="lowerRoman"/>
      <w:lvlText w:val="%3."/>
      <w:lvlJc w:val="right"/>
      <w:pPr>
        <w:ind w:left="2160" w:hanging="180"/>
      </w:pPr>
    </w:lvl>
    <w:lvl w:ilvl="3" w:tplc="C7583088">
      <w:start w:val="1"/>
      <w:numFmt w:val="decimal"/>
      <w:lvlText w:val="%4."/>
      <w:lvlJc w:val="left"/>
      <w:pPr>
        <w:ind w:left="2880" w:hanging="360"/>
      </w:pPr>
    </w:lvl>
    <w:lvl w:ilvl="4" w:tplc="44D40E9C">
      <w:start w:val="1"/>
      <w:numFmt w:val="lowerLetter"/>
      <w:lvlText w:val="%5."/>
      <w:lvlJc w:val="left"/>
      <w:pPr>
        <w:ind w:left="3600" w:hanging="360"/>
      </w:pPr>
    </w:lvl>
    <w:lvl w:ilvl="5" w:tplc="F014E2A2">
      <w:start w:val="1"/>
      <w:numFmt w:val="lowerRoman"/>
      <w:lvlText w:val="%6."/>
      <w:lvlJc w:val="right"/>
      <w:pPr>
        <w:ind w:left="4320" w:hanging="180"/>
      </w:pPr>
    </w:lvl>
    <w:lvl w:ilvl="6" w:tplc="24820DD6">
      <w:start w:val="1"/>
      <w:numFmt w:val="decimal"/>
      <w:lvlText w:val="%7."/>
      <w:lvlJc w:val="left"/>
      <w:pPr>
        <w:ind w:left="5040" w:hanging="360"/>
      </w:pPr>
    </w:lvl>
    <w:lvl w:ilvl="7" w:tplc="347614DA">
      <w:start w:val="1"/>
      <w:numFmt w:val="lowerLetter"/>
      <w:lvlText w:val="%8."/>
      <w:lvlJc w:val="left"/>
      <w:pPr>
        <w:ind w:left="5760" w:hanging="360"/>
      </w:pPr>
    </w:lvl>
    <w:lvl w:ilvl="8" w:tplc="426EDB3C">
      <w:start w:val="1"/>
      <w:numFmt w:val="lowerRoman"/>
      <w:lvlText w:val="%9."/>
      <w:lvlJc w:val="right"/>
      <w:pPr>
        <w:ind w:left="6480" w:hanging="180"/>
      </w:pPr>
    </w:lvl>
  </w:abstractNum>
  <w:abstractNum w:abstractNumId="11" w15:restartNumberingAfterBreak="0">
    <w:nsid w:val="42963843"/>
    <w:multiLevelType w:val="hybridMultilevel"/>
    <w:tmpl w:val="505AF5A2"/>
    <w:lvl w:ilvl="0" w:tplc="CC0202FA">
      <w:start w:val="45"/>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0208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96E7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BAA5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4E04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7833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9ECF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A67C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E424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38CE27"/>
    <w:multiLevelType w:val="hybridMultilevel"/>
    <w:tmpl w:val="45646ADE"/>
    <w:lvl w:ilvl="0" w:tplc="5AB43BA0">
      <w:start w:val="13"/>
      <w:numFmt w:val="decimal"/>
      <w:lvlText w:val="%1."/>
      <w:lvlJc w:val="left"/>
      <w:pPr>
        <w:ind w:left="720" w:hanging="360"/>
      </w:pPr>
    </w:lvl>
    <w:lvl w:ilvl="1" w:tplc="E38ACFB0">
      <w:start w:val="1"/>
      <w:numFmt w:val="lowerLetter"/>
      <w:lvlText w:val="%2."/>
      <w:lvlJc w:val="left"/>
      <w:pPr>
        <w:ind w:left="1440" w:hanging="360"/>
      </w:pPr>
    </w:lvl>
    <w:lvl w:ilvl="2" w:tplc="50729F18">
      <w:start w:val="1"/>
      <w:numFmt w:val="lowerRoman"/>
      <w:lvlText w:val="%3."/>
      <w:lvlJc w:val="right"/>
      <w:pPr>
        <w:ind w:left="2160" w:hanging="180"/>
      </w:pPr>
    </w:lvl>
    <w:lvl w:ilvl="3" w:tplc="C30E6150">
      <w:start w:val="1"/>
      <w:numFmt w:val="decimal"/>
      <w:lvlText w:val="%4."/>
      <w:lvlJc w:val="left"/>
      <w:pPr>
        <w:ind w:left="2880" w:hanging="360"/>
      </w:pPr>
    </w:lvl>
    <w:lvl w:ilvl="4" w:tplc="D4AE91E6">
      <w:start w:val="1"/>
      <w:numFmt w:val="lowerLetter"/>
      <w:lvlText w:val="%5."/>
      <w:lvlJc w:val="left"/>
      <w:pPr>
        <w:ind w:left="3600" w:hanging="360"/>
      </w:pPr>
    </w:lvl>
    <w:lvl w:ilvl="5" w:tplc="C72448B8">
      <w:start w:val="1"/>
      <w:numFmt w:val="lowerRoman"/>
      <w:lvlText w:val="%6."/>
      <w:lvlJc w:val="right"/>
      <w:pPr>
        <w:ind w:left="4320" w:hanging="180"/>
      </w:pPr>
    </w:lvl>
    <w:lvl w:ilvl="6" w:tplc="3BC2D094">
      <w:start w:val="1"/>
      <w:numFmt w:val="decimal"/>
      <w:lvlText w:val="%7."/>
      <w:lvlJc w:val="left"/>
      <w:pPr>
        <w:ind w:left="5040" w:hanging="360"/>
      </w:pPr>
    </w:lvl>
    <w:lvl w:ilvl="7" w:tplc="60BEE3C8">
      <w:start w:val="1"/>
      <w:numFmt w:val="lowerLetter"/>
      <w:lvlText w:val="%8."/>
      <w:lvlJc w:val="left"/>
      <w:pPr>
        <w:ind w:left="5760" w:hanging="360"/>
      </w:pPr>
    </w:lvl>
    <w:lvl w:ilvl="8" w:tplc="17E2BE9E">
      <w:start w:val="1"/>
      <w:numFmt w:val="lowerRoman"/>
      <w:lvlText w:val="%9."/>
      <w:lvlJc w:val="right"/>
      <w:pPr>
        <w:ind w:left="6480" w:hanging="180"/>
      </w:pPr>
    </w:lvl>
  </w:abstractNum>
  <w:abstractNum w:abstractNumId="13" w15:restartNumberingAfterBreak="0">
    <w:nsid w:val="48E827A4"/>
    <w:multiLevelType w:val="hybridMultilevel"/>
    <w:tmpl w:val="D40A2060"/>
    <w:lvl w:ilvl="0" w:tplc="44AE219A">
      <w:start w:val="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C40A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7AA8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D69C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3248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3063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08BE1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262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2A00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E73907"/>
    <w:multiLevelType w:val="hybridMultilevel"/>
    <w:tmpl w:val="12D4CD06"/>
    <w:lvl w:ilvl="0" w:tplc="DC3C992A">
      <w:start w:val="26"/>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3A32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28E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9E82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0EE4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606B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327A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5853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281A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D1970DA"/>
    <w:multiLevelType w:val="hybridMultilevel"/>
    <w:tmpl w:val="4758505C"/>
    <w:lvl w:ilvl="0" w:tplc="2B6AFAAA">
      <w:start w:val="27"/>
      <w:numFmt w:val="decimal"/>
      <w:lvlText w:val="%1."/>
      <w:lvlJc w:val="left"/>
      <w:pPr>
        <w:ind w:left="720" w:hanging="360"/>
      </w:pPr>
    </w:lvl>
    <w:lvl w:ilvl="1" w:tplc="EF4247EA">
      <w:start w:val="1"/>
      <w:numFmt w:val="lowerLetter"/>
      <w:lvlText w:val="%2."/>
      <w:lvlJc w:val="left"/>
      <w:pPr>
        <w:ind w:left="1440" w:hanging="360"/>
      </w:pPr>
    </w:lvl>
    <w:lvl w:ilvl="2" w:tplc="2B944758">
      <w:start w:val="1"/>
      <w:numFmt w:val="lowerRoman"/>
      <w:lvlText w:val="%3."/>
      <w:lvlJc w:val="right"/>
      <w:pPr>
        <w:ind w:left="2160" w:hanging="180"/>
      </w:pPr>
    </w:lvl>
    <w:lvl w:ilvl="3" w:tplc="7090C41A">
      <w:start w:val="1"/>
      <w:numFmt w:val="decimal"/>
      <w:lvlText w:val="%4."/>
      <w:lvlJc w:val="left"/>
      <w:pPr>
        <w:ind w:left="2880" w:hanging="360"/>
      </w:pPr>
    </w:lvl>
    <w:lvl w:ilvl="4" w:tplc="9F6C7CF6">
      <w:start w:val="1"/>
      <w:numFmt w:val="lowerLetter"/>
      <w:lvlText w:val="%5."/>
      <w:lvlJc w:val="left"/>
      <w:pPr>
        <w:ind w:left="3600" w:hanging="360"/>
      </w:pPr>
    </w:lvl>
    <w:lvl w:ilvl="5" w:tplc="7662278A">
      <w:start w:val="1"/>
      <w:numFmt w:val="lowerRoman"/>
      <w:lvlText w:val="%6."/>
      <w:lvlJc w:val="right"/>
      <w:pPr>
        <w:ind w:left="4320" w:hanging="180"/>
      </w:pPr>
    </w:lvl>
    <w:lvl w:ilvl="6" w:tplc="2F6233D0">
      <w:start w:val="1"/>
      <w:numFmt w:val="decimal"/>
      <w:lvlText w:val="%7."/>
      <w:lvlJc w:val="left"/>
      <w:pPr>
        <w:ind w:left="5040" w:hanging="360"/>
      </w:pPr>
    </w:lvl>
    <w:lvl w:ilvl="7" w:tplc="00A2955A">
      <w:start w:val="1"/>
      <w:numFmt w:val="lowerLetter"/>
      <w:lvlText w:val="%8."/>
      <w:lvlJc w:val="left"/>
      <w:pPr>
        <w:ind w:left="5760" w:hanging="360"/>
      </w:pPr>
    </w:lvl>
    <w:lvl w:ilvl="8" w:tplc="1D78E4AA">
      <w:start w:val="1"/>
      <w:numFmt w:val="lowerRoman"/>
      <w:lvlText w:val="%9."/>
      <w:lvlJc w:val="right"/>
      <w:pPr>
        <w:ind w:left="6480" w:hanging="180"/>
      </w:pPr>
    </w:lvl>
  </w:abstractNum>
  <w:abstractNum w:abstractNumId="16" w15:restartNumberingAfterBreak="0">
    <w:nsid w:val="507E760C"/>
    <w:multiLevelType w:val="hybridMultilevel"/>
    <w:tmpl w:val="A51226F0"/>
    <w:lvl w:ilvl="0" w:tplc="297A7C70">
      <w:start w:val="1"/>
      <w:numFmt w:val="decimal"/>
      <w:lvlText w:val="%1."/>
      <w:lvlJc w:val="left"/>
      <w:pPr>
        <w:ind w:left="720" w:hanging="360"/>
      </w:pPr>
    </w:lvl>
    <w:lvl w:ilvl="1" w:tplc="71A42FD4">
      <w:start w:val="1"/>
      <w:numFmt w:val="lowerLetter"/>
      <w:lvlText w:val="%2."/>
      <w:lvlJc w:val="left"/>
      <w:pPr>
        <w:ind w:left="1440" w:hanging="360"/>
      </w:pPr>
    </w:lvl>
    <w:lvl w:ilvl="2" w:tplc="5B24E75C">
      <w:start w:val="1"/>
      <w:numFmt w:val="lowerRoman"/>
      <w:lvlText w:val="%3."/>
      <w:lvlJc w:val="right"/>
      <w:pPr>
        <w:ind w:left="2160" w:hanging="180"/>
      </w:pPr>
    </w:lvl>
    <w:lvl w:ilvl="3" w:tplc="5F6AD260">
      <w:start w:val="1"/>
      <w:numFmt w:val="decimal"/>
      <w:lvlText w:val="%4."/>
      <w:lvlJc w:val="left"/>
      <w:pPr>
        <w:ind w:left="2880" w:hanging="360"/>
      </w:pPr>
    </w:lvl>
    <w:lvl w:ilvl="4" w:tplc="62AA9796">
      <w:start w:val="1"/>
      <w:numFmt w:val="lowerLetter"/>
      <w:lvlText w:val="%5."/>
      <w:lvlJc w:val="left"/>
      <w:pPr>
        <w:ind w:left="3600" w:hanging="360"/>
      </w:pPr>
    </w:lvl>
    <w:lvl w:ilvl="5" w:tplc="F0FEF548">
      <w:start w:val="1"/>
      <w:numFmt w:val="lowerRoman"/>
      <w:lvlText w:val="%6."/>
      <w:lvlJc w:val="right"/>
      <w:pPr>
        <w:ind w:left="4320" w:hanging="180"/>
      </w:pPr>
    </w:lvl>
    <w:lvl w:ilvl="6" w:tplc="961075CC">
      <w:start w:val="1"/>
      <w:numFmt w:val="decimal"/>
      <w:lvlText w:val="%7."/>
      <w:lvlJc w:val="left"/>
      <w:pPr>
        <w:ind w:left="5040" w:hanging="360"/>
      </w:pPr>
    </w:lvl>
    <w:lvl w:ilvl="7" w:tplc="96F265F6">
      <w:start w:val="1"/>
      <w:numFmt w:val="lowerLetter"/>
      <w:lvlText w:val="%8."/>
      <w:lvlJc w:val="left"/>
      <w:pPr>
        <w:ind w:left="5760" w:hanging="360"/>
      </w:pPr>
    </w:lvl>
    <w:lvl w:ilvl="8" w:tplc="19B6B896">
      <w:start w:val="1"/>
      <w:numFmt w:val="lowerRoman"/>
      <w:lvlText w:val="%9."/>
      <w:lvlJc w:val="right"/>
      <w:pPr>
        <w:ind w:left="6480" w:hanging="180"/>
      </w:pPr>
    </w:lvl>
  </w:abstractNum>
  <w:abstractNum w:abstractNumId="17" w15:restartNumberingAfterBreak="0">
    <w:nsid w:val="53C91906"/>
    <w:multiLevelType w:val="hybridMultilevel"/>
    <w:tmpl w:val="4BC41790"/>
    <w:lvl w:ilvl="0" w:tplc="3B66332A">
      <w:start w:val="2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7CC2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0006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CC05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7C40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8E15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DA50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0270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A99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04DBA1"/>
    <w:multiLevelType w:val="hybridMultilevel"/>
    <w:tmpl w:val="A86CDD58"/>
    <w:lvl w:ilvl="0" w:tplc="FB9ADDAE">
      <w:start w:val="19"/>
      <w:numFmt w:val="decimal"/>
      <w:lvlText w:val="%1."/>
      <w:lvlJc w:val="left"/>
      <w:pPr>
        <w:ind w:left="720" w:hanging="360"/>
      </w:pPr>
    </w:lvl>
    <w:lvl w:ilvl="1" w:tplc="05529C16">
      <w:start w:val="1"/>
      <w:numFmt w:val="lowerLetter"/>
      <w:lvlText w:val="%2."/>
      <w:lvlJc w:val="left"/>
      <w:pPr>
        <w:ind w:left="1440" w:hanging="360"/>
      </w:pPr>
    </w:lvl>
    <w:lvl w:ilvl="2" w:tplc="A49430D4">
      <w:start w:val="1"/>
      <w:numFmt w:val="lowerRoman"/>
      <w:lvlText w:val="%3."/>
      <w:lvlJc w:val="right"/>
      <w:pPr>
        <w:ind w:left="2160" w:hanging="180"/>
      </w:pPr>
    </w:lvl>
    <w:lvl w:ilvl="3" w:tplc="BF9A1508">
      <w:start w:val="1"/>
      <w:numFmt w:val="decimal"/>
      <w:lvlText w:val="%4."/>
      <w:lvlJc w:val="left"/>
      <w:pPr>
        <w:ind w:left="2880" w:hanging="360"/>
      </w:pPr>
    </w:lvl>
    <w:lvl w:ilvl="4" w:tplc="25A6B6D8">
      <w:start w:val="1"/>
      <w:numFmt w:val="lowerLetter"/>
      <w:lvlText w:val="%5."/>
      <w:lvlJc w:val="left"/>
      <w:pPr>
        <w:ind w:left="3600" w:hanging="360"/>
      </w:pPr>
    </w:lvl>
    <w:lvl w:ilvl="5" w:tplc="EA207660">
      <w:start w:val="1"/>
      <w:numFmt w:val="lowerRoman"/>
      <w:lvlText w:val="%6."/>
      <w:lvlJc w:val="right"/>
      <w:pPr>
        <w:ind w:left="4320" w:hanging="180"/>
      </w:pPr>
    </w:lvl>
    <w:lvl w:ilvl="6" w:tplc="C23CFF88">
      <w:start w:val="1"/>
      <w:numFmt w:val="decimal"/>
      <w:lvlText w:val="%7."/>
      <w:lvlJc w:val="left"/>
      <w:pPr>
        <w:ind w:left="5040" w:hanging="360"/>
      </w:pPr>
    </w:lvl>
    <w:lvl w:ilvl="7" w:tplc="9B70A4A6">
      <w:start w:val="1"/>
      <w:numFmt w:val="lowerLetter"/>
      <w:lvlText w:val="%8."/>
      <w:lvlJc w:val="left"/>
      <w:pPr>
        <w:ind w:left="5760" w:hanging="360"/>
      </w:pPr>
    </w:lvl>
    <w:lvl w:ilvl="8" w:tplc="F5FC714E">
      <w:start w:val="1"/>
      <w:numFmt w:val="lowerRoman"/>
      <w:lvlText w:val="%9."/>
      <w:lvlJc w:val="right"/>
      <w:pPr>
        <w:ind w:left="6480" w:hanging="180"/>
      </w:pPr>
    </w:lvl>
  </w:abstractNum>
  <w:abstractNum w:abstractNumId="19" w15:restartNumberingAfterBreak="0">
    <w:nsid w:val="563DD4DD"/>
    <w:multiLevelType w:val="hybridMultilevel"/>
    <w:tmpl w:val="D48A637A"/>
    <w:lvl w:ilvl="0" w:tplc="B896E0E0">
      <w:start w:val="39"/>
      <w:numFmt w:val="decimal"/>
      <w:lvlText w:val="%1."/>
      <w:lvlJc w:val="left"/>
      <w:pPr>
        <w:ind w:left="720" w:hanging="360"/>
      </w:pPr>
    </w:lvl>
    <w:lvl w:ilvl="1" w:tplc="73D29D8A">
      <w:start w:val="1"/>
      <w:numFmt w:val="lowerLetter"/>
      <w:lvlText w:val="%2."/>
      <w:lvlJc w:val="left"/>
      <w:pPr>
        <w:ind w:left="1440" w:hanging="360"/>
      </w:pPr>
    </w:lvl>
    <w:lvl w:ilvl="2" w:tplc="295C00F0">
      <w:start w:val="1"/>
      <w:numFmt w:val="lowerRoman"/>
      <w:lvlText w:val="%3."/>
      <w:lvlJc w:val="right"/>
      <w:pPr>
        <w:ind w:left="2160" w:hanging="180"/>
      </w:pPr>
    </w:lvl>
    <w:lvl w:ilvl="3" w:tplc="4746981A">
      <w:start w:val="1"/>
      <w:numFmt w:val="decimal"/>
      <w:lvlText w:val="%4."/>
      <w:lvlJc w:val="left"/>
      <w:pPr>
        <w:ind w:left="2880" w:hanging="360"/>
      </w:pPr>
    </w:lvl>
    <w:lvl w:ilvl="4" w:tplc="8D403A4A">
      <w:start w:val="1"/>
      <w:numFmt w:val="lowerLetter"/>
      <w:lvlText w:val="%5."/>
      <w:lvlJc w:val="left"/>
      <w:pPr>
        <w:ind w:left="3600" w:hanging="360"/>
      </w:pPr>
    </w:lvl>
    <w:lvl w:ilvl="5" w:tplc="932EC69A">
      <w:start w:val="1"/>
      <w:numFmt w:val="lowerRoman"/>
      <w:lvlText w:val="%6."/>
      <w:lvlJc w:val="right"/>
      <w:pPr>
        <w:ind w:left="4320" w:hanging="180"/>
      </w:pPr>
    </w:lvl>
    <w:lvl w:ilvl="6" w:tplc="B9BE2B96">
      <w:start w:val="1"/>
      <w:numFmt w:val="decimal"/>
      <w:lvlText w:val="%7."/>
      <w:lvlJc w:val="left"/>
      <w:pPr>
        <w:ind w:left="5040" w:hanging="360"/>
      </w:pPr>
    </w:lvl>
    <w:lvl w:ilvl="7" w:tplc="767C1724">
      <w:start w:val="1"/>
      <w:numFmt w:val="lowerLetter"/>
      <w:lvlText w:val="%8."/>
      <w:lvlJc w:val="left"/>
      <w:pPr>
        <w:ind w:left="5760" w:hanging="360"/>
      </w:pPr>
    </w:lvl>
    <w:lvl w:ilvl="8" w:tplc="26CEFE3C">
      <w:start w:val="1"/>
      <w:numFmt w:val="lowerRoman"/>
      <w:lvlText w:val="%9."/>
      <w:lvlJc w:val="right"/>
      <w:pPr>
        <w:ind w:left="6480" w:hanging="180"/>
      </w:pPr>
    </w:lvl>
  </w:abstractNum>
  <w:abstractNum w:abstractNumId="20" w15:restartNumberingAfterBreak="0">
    <w:nsid w:val="5CA191DF"/>
    <w:multiLevelType w:val="hybridMultilevel"/>
    <w:tmpl w:val="58D8C602"/>
    <w:lvl w:ilvl="0" w:tplc="EA600362">
      <w:start w:val="45"/>
      <w:numFmt w:val="decimal"/>
      <w:lvlText w:val="%1."/>
      <w:lvlJc w:val="left"/>
      <w:pPr>
        <w:ind w:left="720" w:hanging="360"/>
      </w:pPr>
    </w:lvl>
    <w:lvl w:ilvl="1" w:tplc="3E385538">
      <w:start w:val="1"/>
      <w:numFmt w:val="lowerLetter"/>
      <w:lvlText w:val="%2."/>
      <w:lvlJc w:val="left"/>
      <w:pPr>
        <w:ind w:left="1440" w:hanging="360"/>
      </w:pPr>
    </w:lvl>
    <w:lvl w:ilvl="2" w:tplc="A030B99E">
      <w:start w:val="1"/>
      <w:numFmt w:val="lowerRoman"/>
      <w:lvlText w:val="%3."/>
      <w:lvlJc w:val="right"/>
      <w:pPr>
        <w:ind w:left="2160" w:hanging="180"/>
      </w:pPr>
    </w:lvl>
    <w:lvl w:ilvl="3" w:tplc="52723674">
      <w:start w:val="1"/>
      <w:numFmt w:val="decimal"/>
      <w:lvlText w:val="%4."/>
      <w:lvlJc w:val="left"/>
      <w:pPr>
        <w:ind w:left="2880" w:hanging="360"/>
      </w:pPr>
    </w:lvl>
    <w:lvl w:ilvl="4" w:tplc="5FA46A3C">
      <w:start w:val="1"/>
      <w:numFmt w:val="lowerLetter"/>
      <w:lvlText w:val="%5."/>
      <w:lvlJc w:val="left"/>
      <w:pPr>
        <w:ind w:left="3600" w:hanging="360"/>
      </w:pPr>
    </w:lvl>
    <w:lvl w:ilvl="5" w:tplc="0470A518">
      <w:start w:val="1"/>
      <w:numFmt w:val="lowerRoman"/>
      <w:lvlText w:val="%6."/>
      <w:lvlJc w:val="right"/>
      <w:pPr>
        <w:ind w:left="4320" w:hanging="180"/>
      </w:pPr>
    </w:lvl>
    <w:lvl w:ilvl="6" w:tplc="06CE5C6A">
      <w:start w:val="1"/>
      <w:numFmt w:val="decimal"/>
      <w:lvlText w:val="%7."/>
      <w:lvlJc w:val="left"/>
      <w:pPr>
        <w:ind w:left="5040" w:hanging="360"/>
      </w:pPr>
    </w:lvl>
    <w:lvl w:ilvl="7" w:tplc="ED068EE6">
      <w:start w:val="1"/>
      <w:numFmt w:val="lowerLetter"/>
      <w:lvlText w:val="%8."/>
      <w:lvlJc w:val="left"/>
      <w:pPr>
        <w:ind w:left="5760" w:hanging="360"/>
      </w:pPr>
    </w:lvl>
    <w:lvl w:ilvl="8" w:tplc="9D5E94C4">
      <w:start w:val="1"/>
      <w:numFmt w:val="lowerRoman"/>
      <w:lvlText w:val="%9."/>
      <w:lvlJc w:val="right"/>
      <w:pPr>
        <w:ind w:left="6480" w:hanging="180"/>
      </w:pPr>
    </w:lvl>
  </w:abstractNum>
  <w:abstractNum w:abstractNumId="21" w15:restartNumberingAfterBreak="0">
    <w:nsid w:val="5DBF442E"/>
    <w:multiLevelType w:val="hybridMultilevel"/>
    <w:tmpl w:val="D1E25394"/>
    <w:lvl w:ilvl="0" w:tplc="E5BCDA48">
      <w:start w:val="1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8AB8B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5CE7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26AD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E8B9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7CE4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DAA7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D6B4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0CD3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DF6E23"/>
    <w:multiLevelType w:val="hybridMultilevel"/>
    <w:tmpl w:val="0E2620F2"/>
    <w:lvl w:ilvl="0" w:tplc="29EA4C0A">
      <w:start w:val="4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0C38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18F3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5AD0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9002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862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70C4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427D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5257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F104FA"/>
    <w:multiLevelType w:val="hybridMultilevel"/>
    <w:tmpl w:val="15A47AF4"/>
    <w:lvl w:ilvl="0" w:tplc="6830955E">
      <w:start w:val="1"/>
      <w:numFmt w:val="decimal"/>
      <w:lvlText w:val="%1."/>
      <w:lvlJc w:val="left"/>
      <w:pPr>
        <w:ind w:left="4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BDDA0AEC">
      <w:start w:val="1"/>
      <w:numFmt w:val="lowerLetter"/>
      <w:lvlText w:val="%2"/>
      <w:lvlJc w:val="left"/>
      <w:pPr>
        <w:ind w:left="126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F6CF434">
      <w:start w:val="1"/>
      <w:numFmt w:val="lowerRoman"/>
      <w:lvlText w:val="%3"/>
      <w:lvlJc w:val="left"/>
      <w:pPr>
        <w:ind w:left="198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31588B8E">
      <w:start w:val="1"/>
      <w:numFmt w:val="decimal"/>
      <w:lvlText w:val="%4"/>
      <w:lvlJc w:val="left"/>
      <w:pPr>
        <w:ind w:left="270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359C348C">
      <w:start w:val="1"/>
      <w:numFmt w:val="lowerLetter"/>
      <w:lvlText w:val="%5"/>
      <w:lvlJc w:val="left"/>
      <w:pPr>
        <w:ind w:left="342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656EA4E6">
      <w:start w:val="1"/>
      <w:numFmt w:val="lowerRoman"/>
      <w:lvlText w:val="%6"/>
      <w:lvlJc w:val="left"/>
      <w:pPr>
        <w:ind w:left="414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A1EECF72">
      <w:start w:val="1"/>
      <w:numFmt w:val="decimal"/>
      <w:lvlText w:val="%7"/>
      <w:lvlJc w:val="left"/>
      <w:pPr>
        <w:ind w:left="486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DD4E9A96">
      <w:start w:val="1"/>
      <w:numFmt w:val="lowerLetter"/>
      <w:lvlText w:val="%8"/>
      <w:lvlJc w:val="left"/>
      <w:pPr>
        <w:ind w:left="558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F52893FE">
      <w:start w:val="1"/>
      <w:numFmt w:val="lowerRoman"/>
      <w:lvlText w:val="%9"/>
      <w:lvlJc w:val="left"/>
      <w:pPr>
        <w:ind w:left="630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C30865"/>
    <w:multiLevelType w:val="hybridMultilevel"/>
    <w:tmpl w:val="8FD20DB4"/>
    <w:lvl w:ilvl="0" w:tplc="2D2C4CF6">
      <w:start w:val="30"/>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096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B065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1ACA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56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8C06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0262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604D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FE261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50E0EAA"/>
    <w:multiLevelType w:val="hybridMultilevel"/>
    <w:tmpl w:val="9C2244E4"/>
    <w:lvl w:ilvl="0" w:tplc="4CE68898">
      <w:start w:val="15"/>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DE3B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B632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B494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0E68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7209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64F5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6C3B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7ADFF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E6B6CF"/>
    <w:multiLevelType w:val="hybridMultilevel"/>
    <w:tmpl w:val="4A18DDDC"/>
    <w:lvl w:ilvl="0" w:tplc="FF863EA6">
      <w:start w:val="16"/>
      <w:numFmt w:val="decimal"/>
      <w:lvlText w:val="%1."/>
      <w:lvlJc w:val="left"/>
      <w:pPr>
        <w:ind w:left="720" w:hanging="360"/>
      </w:pPr>
    </w:lvl>
    <w:lvl w:ilvl="1" w:tplc="F8C07460">
      <w:start w:val="1"/>
      <w:numFmt w:val="lowerLetter"/>
      <w:lvlText w:val="%2."/>
      <w:lvlJc w:val="left"/>
      <w:pPr>
        <w:ind w:left="1440" w:hanging="360"/>
      </w:pPr>
    </w:lvl>
    <w:lvl w:ilvl="2" w:tplc="17429E24">
      <w:start w:val="1"/>
      <w:numFmt w:val="lowerRoman"/>
      <w:lvlText w:val="%3."/>
      <w:lvlJc w:val="right"/>
      <w:pPr>
        <w:ind w:left="2160" w:hanging="180"/>
      </w:pPr>
    </w:lvl>
    <w:lvl w:ilvl="3" w:tplc="7AF0D8D8">
      <w:start w:val="1"/>
      <w:numFmt w:val="decimal"/>
      <w:lvlText w:val="%4."/>
      <w:lvlJc w:val="left"/>
      <w:pPr>
        <w:ind w:left="2880" w:hanging="360"/>
      </w:pPr>
    </w:lvl>
    <w:lvl w:ilvl="4" w:tplc="697C54E6">
      <w:start w:val="1"/>
      <w:numFmt w:val="lowerLetter"/>
      <w:lvlText w:val="%5."/>
      <w:lvlJc w:val="left"/>
      <w:pPr>
        <w:ind w:left="3600" w:hanging="360"/>
      </w:pPr>
    </w:lvl>
    <w:lvl w:ilvl="5" w:tplc="84D8C664">
      <w:start w:val="1"/>
      <w:numFmt w:val="lowerRoman"/>
      <w:lvlText w:val="%6."/>
      <w:lvlJc w:val="right"/>
      <w:pPr>
        <w:ind w:left="4320" w:hanging="180"/>
      </w:pPr>
    </w:lvl>
    <w:lvl w:ilvl="6" w:tplc="693C796E">
      <w:start w:val="1"/>
      <w:numFmt w:val="decimal"/>
      <w:lvlText w:val="%7."/>
      <w:lvlJc w:val="left"/>
      <w:pPr>
        <w:ind w:left="5040" w:hanging="360"/>
      </w:pPr>
    </w:lvl>
    <w:lvl w:ilvl="7" w:tplc="038EBA18">
      <w:start w:val="1"/>
      <w:numFmt w:val="lowerLetter"/>
      <w:lvlText w:val="%8."/>
      <w:lvlJc w:val="left"/>
      <w:pPr>
        <w:ind w:left="5760" w:hanging="360"/>
      </w:pPr>
    </w:lvl>
    <w:lvl w:ilvl="8" w:tplc="C772E25A">
      <w:start w:val="1"/>
      <w:numFmt w:val="lowerRoman"/>
      <w:lvlText w:val="%9."/>
      <w:lvlJc w:val="right"/>
      <w:pPr>
        <w:ind w:left="6480" w:hanging="180"/>
      </w:pPr>
    </w:lvl>
  </w:abstractNum>
  <w:num w:numId="1" w16cid:durableId="315036838">
    <w:abstractNumId w:val="20"/>
  </w:num>
  <w:num w:numId="2" w16cid:durableId="1196776084">
    <w:abstractNumId w:val="8"/>
  </w:num>
  <w:num w:numId="3" w16cid:durableId="1484738044">
    <w:abstractNumId w:val="19"/>
  </w:num>
  <w:num w:numId="4" w16cid:durableId="1678116453">
    <w:abstractNumId w:val="10"/>
  </w:num>
  <w:num w:numId="5" w16cid:durableId="1043753265">
    <w:abstractNumId w:val="1"/>
  </w:num>
  <w:num w:numId="6" w16cid:durableId="638920377">
    <w:abstractNumId w:val="15"/>
  </w:num>
  <w:num w:numId="7" w16cid:durableId="738870076">
    <w:abstractNumId w:val="4"/>
  </w:num>
  <w:num w:numId="8" w16cid:durableId="626012562">
    <w:abstractNumId w:val="18"/>
  </w:num>
  <w:num w:numId="9" w16cid:durableId="1172910322">
    <w:abstractNumId w:val="26"/>
  </w:num>
  <w:num w:numId="10" w16cid:durableId="231549619">
    <w:abstractNumId w:val="12"/>
  </w:num>
  <w:num w:numId="11" w16cid:durableId="1089888138">
    <w:abstractNumId w:val="0"/>
  </w:num>
  <w:num w:numId="12" w16cid:durableId="1102456252">
    <w:abstractNumId w:val="5"/>
  </w:num>
  <w:num w:numId="13" w16cid:durableId="1400713141">
    <w:abstractNumId w:val="16"/>
  </w:num>
  <w:num w:numId="14" w16cid:durableId="1050149849">
    <w:abstractNumId w:val="7"/>
  </w:num>
  <w:num w:numId="15" w16cid:durableId="2043435954">
    <w:abstractNumId w:val="13"/>
  </w:num>
  <w:num w:numId="16" w16cid:durableId="2094620376">
    <w:abstractNumId w:val="3"/>
  </w:num>
  <w:num w:numId="17" w16cid:durableId="1858542183">
    <w:abstractNumId w:val="21"/>
  </w:num>
  <w:num w:numId="18" w16cid:durableId="1319072604">
    <w:abstractNumId w:val="25"/>
  </w:num>
  <w:num w:numId="19" w16cid:durableId="727457945">
    <w:abstractNumId w:val="6"/>
  </w:num>
  <w:num w:numId="20" w16cid:durableId="1699428090">
    <w:abstractNumId w:val="17"/>
  </w:num>
  <w:num w:numId="21" w16cid:durableId="1355496757">
    <w:abstractNumId w:val="14"/>
  </w:num>
  <w:num w:numId="22" w16cid:durableId="1001591446">
    <w:abstractNumId w:val="24"/>
  </w:num>
  <w:num w:numId="23" w16cid:durableId="40174429">
    <w:abstractNumId w:val="2"/>
  </w:num>
  <w:num w:numId="24" w16cid:durableId="364981935">
    <w:abstractNumId w:val="9"/>
  </w:num>
  <w:num w:numId="25" w16cid:durableId="350299948">
    <w:abstractNumId w:val="22"/>
  </w:num>
  <w:num w:numId="26" w16cid:durableId="908613361">
    <w:abstractNumId w:val="11"/>
  </w:num>
  <w:num w:numId="27" w16cid:durableId="16256524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9A"/>
    <w:rsid w:val="00033C0A"/>
    <w:rsid w:val="00044C30"/>
    <w:rsid w:val="00086F95"/>
    <w:rsid w:val="000B77FA"/>
    <w:rsid w:val="000C0C6C"/>
    <w:rsid w:val="000E3827"/>
    <w:rsid w:val="00121956"/>
    <w:rsid w:val="001261F4"/>
    <w:rsid w:val="00171D5F"/>
    <w:rsid w:val="00190A7B"/>
    <w:rsid w:val="001B52BB"/>
    <w:rsid w:val="001B67CD"/>
    <w:rsid w:val="002218E3"/>
    <w:rsid w:val="00230A83"/>
    <w:rsid w:val="002612D5"/>
    <w:rsid w:val="00273146"/>
    <w:rsid w:val="00290802"/>
    <w:rsid w:val="002A51FD"/>
    <w:rsid w:val="002A7084"/>
    <w:rsid w:val="002B68D7"/>
    <w:rsid w:val="002C4ECC"/>
    <w:rsid w:val="00364201"/>
    <w:rsid w:val="0036524D"/>
    <w:rsid w:val="003A3A9C"/>
    <w:rsid w:val="003E3065"/>
    <w:rsid w:val="0042049A"/>
    <w:rsid w:val="0042347D"/>
    <w:rsid w:val="00434772"/>
    <w:rsid w:val="004B3691"/>
    <w:rsid w:val="004D4418"/>
    <w:rsid w:val="00526DF0"/>
    <w:rsid w:val="00542B4A"/>
    <w:rsid w:val="00545526"/>
    <w:rsid w:val="00561A55"/>
    <w:rsid w:val="00563E61"/>
    <w:rsid w:val="0059545F"/>
    <w:rsid w:val="00606B9A"/>
    <w:rsid w:val="00626BE5"/>
    <w:rsid w:val="00664EF2"/>
    <w:rsid w:val="00667C7F"/>
    <w:rsid w:val="006816E7"/>
    <w:rsid w:val="006B314D"/>
    <w:rsid w:val="006D029C"/>
    <w:rsid w:val="006E75EF"/>
    <w:rsid w:val="00707958"/>
    <w:rsid w:val="007468AC"/>
    <w:rsid w:val="00763C54"/>
    <w:rsid w:val="007B088D"/>
    <w:rsid w:val="007B6D90"/>
    <w:rsid w:val="007D771D"/>
    <w:rsid w:val="007F41D7"/>
    <w:rsid w:val="007F7072"/>
    <w:rsid w:val="00805789"/>
    <w:rsid w:val="008441C9"/>
    <w:rsid w:val="00850BAA"/>
    <w:rsid w:val="0085712B"/>
    <w:rsid w:val="00857C66"/>
    <w:rsid w:val="008612AB"/>
    <w:rsid w:val="00880CE6"/>
    <w:rsid w:val="008826E0"/>
    <w:rsid w:val="008A7D3A"/>
    <w:rsid w:val="008C0998"/>
    <w:rsid w:val="008C1436"/>
    <w:rsid w:val="008E454B"/>
    <w:rsid w:val="008F6E64"/>
    <w:rsid w:val="00921CAC"/>
    <w:rsid w:val="00941DA2"/>
    <w:rsid w:val="00980DC5"/>
    <w:rsid w:val="009E01DC"/>
    <w:rsid w:val="00A10BEB"/>
    <w:rsid w:val="00A52032"/>
    <w:rsid w:val="00A57479"/>
    <w:rsid w:val="00A754D4"/>
    <w:rsid w:val="00A9000C"/>
    <w:rsid w:val="00AC4D73"/>
    <w:rsid w:val="00AF707A"/>
    <w:rsid w:val="00B251E8"/>
    <w:rsid w:val="00B91C9F"/>
    <w:rsid w:val="00B96213"/>
    <w:rsid w:val="00BA30D5"/>
    <w:rsid w:val="00BC0AAA"/>
    <w:rsid w:val="00BE5D84"/>
    <w:rsid w:val="00C10E18"/>
    <w:rsid w:val="00C13489"/>
    <w:rsid w:val="00C17DB9"/>
    <w:rsid w:val="00C70A9A"/>
    <w:rsid w:val="00C743CA"/>
    <w:rsid w:val="00CA0C3B"/>
    <w:rsid w:val="00CD7862"/>
    <w:rsid w:val="00D36590"/>
    <w:rsid w:val="00D57405"/>
    <w:rsid w:val="00D93323"/>
    <w:rsid w:val="00DB0FDF"/>
    <w:rsid w:val="00DC1EC8"/>
    <w:rsid w:val="00ED4079"/>
    <w:rsid w:val="00EF0CA4"/>
    <w:rsid w:val="00F57F62"/>
    <w:rsid w:val="00F72CA3"/>
    <w:rsid w:val="00FD3DB4"/>
    <w:rsid w:val="00FF2F74"/>
    <w:rsid w:val="025480E1"/>
    <w:rsid w:val="0813F1DC"/>
    <w:rsid w:val="14D15839"/>
    <w:rsid w:val="1928D4E9"/>
    <w:rsid w:val="1CDAC166"/>
    <w:rsid w:val="1E6DD7CA"/>
    <w:rsid w:val="25314BE2"/>
    <w:rsid w:val="25E60B45"/>
    <w:rsid w:val="296ECB36"/>
    <w:rsid w:val="29F24E9B"/>
    <w:rsid w:val="2E78CFBE"/>
    <w:rsid w:val="345453E8"/>
    <w:rsid w:val="3AD80F85"/>
    <w:rsid w:val="3D83972A"/>
    <w:rsid w:val="3F4AD44B"/>
    <w:rsid w:val="4371719A"/>
    <w:rsid w:val="54B5A2EF"/>
    <w:rsid w:val="5AD39AF6"/>
    <w:rsid w:val="5BFDBB59"/>
    <w:rsid w:val="676820E6"/>
    <w:rsid w:val="71271943"/>
    <w:rsid w:val="77CBABD5"/>
    <w:rsid w:val="7DBCAC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94C0"/>
  <w15:docId w15:val="{2EC994A1-E902-4EE4-BCCB-7730CEBB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26"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8"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857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12B"/>
    <w:rPr>
      <w:rFonts w:ascii="Calibri" w:eastAsia="Calibri" w:hAnsi="Calibri" w:cs="Calibri"/>
      <w:color w:val="000000"/>
      <w:sz w:val="22"/>
    </w:rPr>
  </w:style>
  <w:style w:type="paragraph" w:styleId="Footer">
    <w:name w:val="footer"/>
    <w:basedOn w:val="Normal"/>
    <w:link w:val="FooterChar"/>
    <w:uiPriority w:val="99"/>
    <w:unhideWhenUsed/>
    <w:rsid w:val="00857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12B"/>
    <w:rPr>
      <w:rFonts w:ascii="Calibri" w:eastAsia="Calibri" w:hAnsi="Calibri" w:cs="Calibri"/>
      <w:color w:val="000000"/>
      <w:sz w:val="22"/>
    </w:rPr>
  </w:style>
  <w:style w:type="paragraph" w:customStyle="1" w:styleId="whitespace-normal">
    <w:name w:val="whitespace-normal"/>
    <w:basedOn w:val="Normal"/>
    <w:rsid w:val="006816E7"/>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979867-ae60-4c09-9419-456a119c5e5d">
      <Terms xmlns="http://schemas.microsoft.com/office/infopath/2007/PartnerControls"/>
    </lcf76f155ced4ddcb4097134ff3c332f>
    <TaxCatchAll xmlns="a5c2b294-c528-4a20-ad65-c7c85b38e2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A7102D4FE2345BB1676D56B87599A" ma:contentTypeVersion="18" ma:contentTypeDescription="Create a new document." ma:contentTypeScope="" ma:versionID="b049d7564c7952d47db2e04b451225dd">
  <xsd:schema xmlns:xsd="http://www.w3.org/2001/XMLSchema" xmlns:xs="http://www.w3.org/2001/XMLSchema" xmlns:p="http://schemas.microsoft.com/office/2006/metadata/properties" xmlns:ns2="59979867-ae60-4c09-9419-456a119c5e5d" xmlns:ns3="a5c2b294-c528-4a20-ad65-c7c85b38e20f" targetNamespace="http://schemas.microsoft.com/office/2006/metadata/properties" ma:root="true" ma:fieldsID="428cdf227800d9ccbd45e58f81925436" ns2:_="" ns3:_="">
    <xsd:import namespace="59979867-ae60-4c09-9419-456a119c5e5d"/>
    <xsd:import namespace="a5c2b294-c528-4a20-ad65-c7c85b38e2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79867-ae60-4c09-9419-456a119c5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b00934-6f4e-431d-907a-2c5ffc4d62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2b294-c528-4a20-ad65-c7c85b38e2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22314f-1758-4e6a-a232-6cff1cca6dc3}" ma:internalName="TaxCatchAll" ma:showField="CatchAllData" ma:web="a5c2b294-c528-4a20-ad65-c7c85b38e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0A872-267C-40B5-836F-40383A10541D}">
  <ds:schemaRefs>
    <ds:schemaRef ds:uri="http://schemas.microsoft.com/office/2006/metadata/properties"/>
    <ds:schemaRef ds:uri="http://schemas.microsoft.com/office/infopath/2007/PartnerControls"/>
    <ds:schemaRef ds:uri="59979867-ae60-4c09-9419-456a119c5e5d"/>
    <ds:schemaRef ds:uri="a5c2b294-c528-4a20-ad65-c7c85b38e20f"/>
  </ds:schemaRefs>
</ds:datastoreItem>
</file>

<file path=customXml/itemProps2.xml><?xml version="1.0" encoding="utf-8"?>
<ds:datastoreItem xmlns:ds="http://schemas.openxmlformats.org/officeDocument/2006/customXml" ds:itemID="{AE16D1DB-9497-439E-857A-C45B562BC7FD}">
  <ds:schemaRefs>
    <ds:schemaRef ds:uri="http://schemas.microsoft.com/sharepoint/v3/contenttype/forms"/>
  </ds:schemaRefs>
</ds:datastoreItem>
</file>

<file path=customXml/itemProps3.xml><?xml version="1.0" encoding="utf-8"?>
<ds:datastoreItem xmlns:ds="http://schemas.openxmlformats.org/officeDocument/2006/customXml" ds:itemID="{07818F1C-E716-4D91-B415-1CF4E48D6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79867-ae60-4c09-9419-456a119c5e5d"/>
    <ds:schemaRef ds:uri="a5c2b294-c528-4a20-ad65-c7c85b38e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3111</Words>
  <Characters>17737</Characters>
  <Application>Microsoft Office Word</Application>
  <DocSecurity>0</DocSecurity>
  <Lines>147</Lines>
  <Paragraphs>41</Paragraphs>
  <ScaleCrop>false</ScaleCrop>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Technology Governance and Sustainability</dc:title>
  <dc:subject/>
  <dc:creator>Gordon Myers</dc:creator>
  <cp:keywords/>
  <cp:lastModifiedBy>Davit Karapetyan</cp:lastModifiedBy>
  <cp:revision>2</cp:revision>
  <cp:lastPrinted>2025-06-08T21:24:00Z</cp:lastPrinted>
  <dcterms:created xsi:type="dcterms:W3CDTF">2026-06-10T20:18:00Z</dcterms:created>
  <dcterms:modified xsi:type="dcterms:W3CDTF">2026-06-10T20:18:00Z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0x010100405A7102D4FE2345BB1676D56B87599A</vt:lpwstr>
  </property>
  <property fmtid="{D5CDD505-2E9C-101B-9397-08002B2CF9AE}" pid="3" name="MediaServiceImageTags">
    <vt:lpwstr/>
  </property>
</Properties>
</file>